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60926">
      <w:pPr>
        <w:jc w:val="center"/>
        <w:rPr>
          <w:rFonts w:hint="eastAsia" w:ascii="黑体" w:hAnsi="黑体" w:eastAsia="黑体" w:cs="黑体"/>
          <w:b/>
          <w:bCs/>
          <w:sz w:val="40"/>
          <w:szCs w:val="48"/>
        </w:rPr>
      </w:pPr>
      <w:r>
        <w:rPr>
          <w:rFonts w:hint="eastAsia" w:ascii="黑体" w:hAnsi="黑体" w:eastAsia="黑体" w:cs="黑体"/>
          <w:b w:val="0"/>
          <w:bCs w:val="0"/>
          <w:sz w:val="44"/>
          <w:szCs w:val="52"/>
        </w:rPr>
        <w:t>农药采购需求</w:t>
      </w:r>
    </w:p>
    <w:p w14:paraId="4B35DE4E">
      <w:pPr>
        <w:jc w:val="center"/>
        <w:rPr>
          <w:rFonts w:hint="eastAsia" w:ascii="仿宋" w:hAnsi="仿宋" w:eastAsia="仿宋" w:cs="仿宋"/>
          <w:sz w:val="28"/>
          <w:szCs w:val="36"/>
        </w:rPr>
      </w:pPr>
      <w:r>
        <w:rPr>
          <w:rFonts w:hint="eastAsia" w:ascii="仿宋" w:hAnsi="仿宋" w:eastAsia="仿宋" w:cs="仿宋"/>
          <w:sz w:val="28"/>
          <w:szCs w:val="36"/>
        </w:rPr>
        <w:t>（基于2025年度昆虫群落调查报告定制）</w:t>
      </w:r>
    </w:p>
    <w:p w14:paraId="2242B731">
      <w:pPr>
        <w:rPr>
          <w:rFonts w:hint="eastAsia" w:ascii="黑体" w:hAnsi="黑体" w:eastAsia="黑体" w:cs="黑体"/>
          <w:sz w:val="40"/>
          <w:szCs w:val="48"/>
        </w:rPr>
      </w:pPr>
      <w:r>
        <w:rPr>
          <w:rFonts w:hint="eastAsia" w:ascii="黑体" w:hAnsi="黑体" w:eastAsia="黑体" w:cs="黑体"/>
          <w:sz w:val="40"/>
          <w:szCs w:val="48"/>
        </w:rPr>
        <w:t>一、项目概况</w:t>
      </w:r>
    </w:p>
    <w:p w14:paraId="4670D4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rPr>
        <w:t>根据《珠海机场飞行区昆虫群落调查报告（2025）》，本场飞行区昆虫共计12 目 64 科，优势类群为：叶蝉科、飞虱科、蝇科、夜蛾科、姬蠊科（小蠊）、螟蛾科、尺蛾科、蝽科等；年度高发期为3—8月，重点发生区域为跑滑间、北端头积水区、围界内外草带。为实现源头控幼、压低虫口、减少鸟类食源、保障飞行安全，现面向专业农药供应商</w:t>
      </w:r>
      <w:r>
        <w:rPr>
          <w:rFonts w:hint="eastAsia" w:ascii="仿宋" w:hAnsi="仿宋" w:eastAsia="仿宋" w:cs="仿宋"/>
          <w:sz w:val="28"/>
          <w:szCs w:val="36"/>
          <w:lang w:val="en-US" w:eastAsia="zh-CN"/>
        </w:rPr>
        <w:t>采购</w:t>
      </w:r>
      <w:r>
        <w:rPr>
          <w:rFonts w:hint="eastAsia" w:ascii="仿宋" w:hAnsi="仿宋" w:eastAsia="仿宋" w:cs="仿宋"/>
          <w:sz w:val="28"/>
          <w:szCs w:val="36"/>
        </w:rPr>
        <w:t>定制化虫情防控药剂</w:t>
      </w:r>
      <w:r>
        <w:rPr>
          <w:rFonts w:hint="eastAsia" w:ascii="仿宋" w:hAnsi="仿宋" w:eastAsia="仿宋" w:cs="仿宋"/>
          <w:sz w:val="28"/>
          <w:szCs w:val="36"/>
          <w:lang w:eastAsia="zh-CN"/>
        </w:rPr>
        <w:t>。</w:t>
      </w:r>
    </w:p>
    <w:p w14:paraId="3467B251">
      <w:pPr>
        <w:numPr>
          <w:ilvl w:val="0"/>
          <w:numId w:val="0"/>
        </w:numPr>
        <w:rPr>
          <w:rFonts w:hint="eastAsia" w:ascii="黑体" w:hAnsi="黑体" w:eastAsia="黑体" w:cs="黑体"/>
          <w:sz w:val="40"/>
          <w:szCs w:val="48"/>
        </w:rPr>
      </w:pPr>
      <w:r>
        <w:rPr>
          <w:rFonts w:hint="eastAsia" w:ascii="黑体" w:hAnsi="黑体" w:eastAsia="黑体" w:cs="黑体"/>
          <w:sz w:val="40"/>
          <w:szCs w:val="48"/>
          <w:lang w:val="en-US" w:eastAsia="zh-CN"/>
        </w:rPr>
        <w:t>二、</w:t>
      </w:r>
      <w:r>
        <w:rPr>
          <w:rFonts w:hint="eastAsia" w:ascii="黑体" w:hAnsi="黑体" w:eastAsia="黑体" w:cs="黑体"/>
          <w:sz w:val="40"/>
          <w:szCs w:val="48"/>
        </w:rPr>
        <w:t>采购药剂清单</w:t>
      </w:r>
    </w:p>
    <w:p w14:paraId="3816504F">
      <w:pPr>
        <w:numPr>
          <w:ilvl w:val="0"/>
          <w:numId w:val="0"/>
        </w:numPr>
        <w:rPr>
          <w:rFonts w:hint="eastAsia" w:ascii="仿宋" w:hAnsi="仿宋" w:eastAsia="仿宋" w:cs="仿宋"/>
          <w:sz w:val="28"/>
          <w:szCs w:val="36"/>
          <w:vertAlign w:val="baseline"/>
          <w:lang w:val="en-US" w:eastAsia="zh-CN"/>
        </w:rPr>
      </w:pPr>
      <w:r>
        <w:rPr>
          <w:rFonts w:hint="eastAsia" w:ascii="仿宋" w:hAnsi="仿宋" w:eastAsia="仿宋" w:cs="仿宋"/>
          <w:sz w:val="28"/>
          <w:szCs w:val="36"/>
        </w:rPr>
        <w:t>（一）</w:t>
      </w:r>
      <w:r>
        <w:rPr>
          <w:rFonts w:hint="eastAsia" w:ascii="仿宋" w:hAnsi="仿宋" w:eastAsia="仿宋" w:cs="仿宋"/>
          <w:sz w:val="28"/>
          <w:szCs w:val="36"/>
          <w:lang w:val="en-US" w:eastAsia="zh-CN"/>
        </w:rPr>
        <w:t>杀虫剂</w:t>
      </w:r>
    </w:p>
    <w:tbl>
      <w:tblPr>
        <w:tblStyle w:val="7"/>
        <w:tblW w:w="10085"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877"/>
        <w:gridCol w:w="2043"/>
        <w:gridCol w:w="1292"/>
        <w:gridCol w:w="1004"/>
        <w:gridCol w:w="2861"/>
      </w:tblGrid>
      <w:tr w14:paraId="4C8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008" w:type="dxa"/>
            <w:shd w:val="clear" w:color="auto" w:fill="auto"/>
            <w:vAlign w:val="center"/>
          </w:tcPr>
          <w:p w14:paraId="51B9F44A">
            <w:pPr>
              <w:jc w:val="center"/>
              <w:rPr>
                <w:rFonts w:hint="eastAsia" w:ascii="仿宋" w:hAnsi="仿宋" w:eastAsia="仿宋" w:cs="仿宋"/>
                <w:kern w:val="2"/>
                <w:sz w:val="24"/>
                <w:szCs w:val="32"/>
                <w:vertAlign w:val="baseline"/>
                <w:lang w:val="en-US" w:eastAsia="zh-CN" w:bidi="ar-SA"/>
              </w:rPr>
            </w:pPr>
            <w:r>
              <w:rPr>
                <w:rFonts w:hint="eastAsia" w:ascii="仿宋" w:hAnsi="仿宋" w:eastAsia="仿宋" w:cs="宋体"/>
                <w:sz w:val="28"/>
                <w:szCs w:val="28"/>
              </w:rPr>
              <w:t>品种</w:t>
            </w:r>
          </w:p>
        </w:tc>
        <w:tc>
          <w:tcPr>
            <w:tcW w:w="877" w:type="dxa"/>
            <w:shd w:val="clear" w:color="auto" w:fill="auto"/>
            <w:vAlign w:val="top"/>
          </w:tcPr>
          <w:p w14:paraId="146DD05A">
            <w:pPr>
              <w:jc w:val="center"/>
              <w:rPr>
                <w:rFonts w:hint="eastAsia" w:ascii="仿宋" w:hAnsi="仿宋" w:eastAsia="仿宋" w:cs="仿宋"/>
                <w:sz w:val="24"/>
                <w:szCs w:val="32"/>
                <w:lang w:val="en-US" w:eastAsia="zh-CN"/>
              </w:rPr>
            </w:pPr>
            <w:r>
              <w:rPr>
                <w:rFonts w:hint="eastAsia" w:ascii="仿宋" w:hAnsi="仿宋" w:eastAsia="仿宋" w:cs="宋体"/>
                <w:sz w:val="28"/>
                <w:szCs w:val="28"/>
              </w:rPr>
              <w:t>含量</w:t>
            </w:r>
          </w:p>
        </w:tc>
        <w:tc>
          <w:tcPr>
            <w:tcW w:w="2043" w:type="dxa"/>
            <w:shd w:val="clear" w:color="auto" w:fill="auto"/>
            <w:vAlign w:val="center"/>
          </w:tcPr>
          <w:p w14:paraId="5C13339D">
            <w:pPr>
              <w:jc w:val="center"/>
              <w:rPr>
                <w:rFonts w:hint="eastAsia" w:ascii="仿宋" w:hAnsi="仿宋" w:eastAsia="仿宋" w:cs="宋体"/>
                <w:kern w:val="2"/>
                <w:sz w:val="28"/>
                <w:szCs w:val="28"/>
                <w:lang w:val="en-US" w:eastAsia="zh-CN" w:bidi="ar-SA"/>
              </w:rPr>
            </w:pPr>
            <w:r>
              <w:rPr>
                <w:rFonts w:hint="eastAsia" w:ascii="仿宋" w:hAnsi="仿宋" w:eastAsia="仿宋" w:cs="宋体"/>
                <w:sz w:val="28"/>
                <w:szCs w:val="28"/>
                <w:lang w:val="en-US" w:eastAsia="zh-CN"/>
              </w:rPr>
              <w:t>剂型</w:t>
            </w:r>
          </w:p>
        </w:tc>
        <w:tc>
          <w:tcPr>
            <w:tcW w:w="1292" w:type="dxa"/>
            <w:shd w:val="clear" w:color="auto" w:fill="auto"/>
            <w:vAlign w:val="center"/>
          </w:tcPr>
          <w:p w14:paraId="56D6F2FA">
            <w:pPr>
              <w:jc w:val="center"/>
              <w:rPr>
                <w:rFonts w:hint="eastAsia" w:ascii="仿宋" w:hAnsi="仿宋" w:eastAsia="仿宋" w:cs="仿宋"/>
                <w:kern w:val="2"/>
                <w:sz w:val="24"/>
                <w:szCs w:val="32"/>
                <w:lang w:val="en-US" w:eastAsia="zh-CN" w:bidi="ar-SA"/>
              </w:rPr>
            </w:pPr>
            <w:r>
              <w:rPr>
                <w:rFonts w:hint="eastAsia" w:ascii="仿宋" w:hAnsi="仿宋" w:eastAsia="仿宋" w:cs="宋体"/>
                <w:sz w:val="28"/>
                <w:szCs w:val="28"/>
              </w:rPr>
              <w:t>规格</w:t>
            </w:r>
          </w:p>
        </w:tc>
        <w:tc>
          <w:tcPr>
            <w:tcW w:w="1004" w:type="dxa"/>
            <w:shd w:val="clear" w:color="auto" w:fill="auto"/>
            <w:vAlign w:val="center"/>
          </w:tcPr>
          <w:p w14:paraId="0151AF00">
            <w:pPr>
              <w:jc w:val="center"/>
              <w:rPr>
                <w:rFonts w:hint="eastAsia" w:ascii="仿宋" w:hAnsi="仿宋" w:eastAsia="仿宋" w:cs="仿宋"/>
                <w:kern w:val="2"/>
                <w:sz w:val="24"/>
                <w:szCs w:val="32"/>
                <w:lang w:val="en-US" w:eastAsia="zh-CN" w:bidi="ar-SA"/>
              </w:rPr>
            </w:pPr>
            <w:r>
              <w:rPr>
                <w:rFonts w:hint="eastAsia" w:ascii="仿宋" w:hAnsi="仿宋" w:eastAsia="仿宋" w:cs="宋体"/>
                <w:sz w:val="28"/>
                <w:szCs w:val="28"/>
              </w:rPr>
              <w:t>数量</w:t>
            </w:r>
          </w:p>
        </w:tc>
        <w:tc>
          <w:tcPr>
            <w:tcW w:w="2861" w:type="dxa"/>
            <w:shd w:val="clear" w:color="auto" w:fill="auto"/>
            <w:vAlign w:val="center"/>
          </w:tcPr>
          <w:p w14:paraId="704C1A0F">
            <w:pPr>
              <w:jc w:val="center"/>
              <w:rPr>
                <w:rFonts w:hint="eastAsia" w:ascii="仿宋" w:hAnsi="仿宋" w:eastAsia="仿宋" w:cs="仿宋"/>
                <w:sz w:val="24"/>
                <w:szCs w:val="32"/>
                <w:lang w:val="en-US" w:eastAsia="zh-CN"/>
              </w:rPr>
            </w:pPr>
            <w:r>
              <w:rPr>
                <w:rFonts w:hint="eastAsia" w:ascii="仿宋" w:hAnsi="仿宋" w:eastAsia="仿宋" w:cs="宋体"/>
                <w:sz w:val="28"/>
                <w:szCs w:val="28"/>
              </w:rPr>
              <w:t>用途</w:t>
            </w:r>
          </w:p>
        </w:tc>
      </w:tr>
      <w:tr w14:paraId="38B3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08" w:type="dxa"/>
            <w:shd w:val="clear" w:color="auto" w:fill="auto"/>
            <w:vAlign w:val="top"/>
          </w:tcPr>
          <w:p w14:paraId="142E44E6">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高效氯氰菊酯</w:t>
            </w:r>
          </w:p>
        </w:tc>
        <w:tc>
          <w:tcPr>
            <w:tcW w:w="877" w:type="dxa"/>
            <w:shd w:val="clear" w:color="auto" w:fill="auto"/>
            <w:vAlign w:val="top"/>
          </w:tcPr>
          <w:p w14:paraId="7BFEDFC2">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4.5%</w:t>
            </w:r>
          </w:p>
        </w:tc>
        <w:tc>
          <w:tcPr>
            <w:tcW w:w="2043" w:type="dxa"/>
            <w:shd w:val="clear" w:color="auto" w:fill="auto"/>
            <w:vAlign w:val="top"/>
          </w:tcPr>
          <w:p w14:paraId="4F09B29D">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水乳剂</w:t>
            </w:r>
          </w:p>
        </w:tc>
        <w:tc>
          <w:tcPr>
            <w:tcW w:w="1292" w:type="dxa"/>
            <w:shd w:val="clear" w:color="auto" w:fill="auto"/>
            <w:vAlign w:val="top"/>
          </w:tcPr>
          <w:p w14:paraId="7F5D114E">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1kg/瓶</w:t>
            </w:r>
          </w:p>
        </w:tc>
        <w:tc>
          <w:tcPr>
            <w:tcW w:w="1004" w:type="dxa"/>
            <w:shd w:val="clear" w:color="auto" w:fill="auto"/>
            <w:vAlign w:val="top"/>
          </w:tcPr>
          <w:p w14:paraId="494E0058">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1200kg</w:t>
            </w:r>
          </w:p>
        </w:tc>
        <w:tc>
          <w:tcPr>
            <w:tcW w:w="2861" w:type="dxa"/>
            <w:shd w:val="clear" w:color="auto" w:fill="auto"/>
            <w:vAlign w:val="top"/>
          </w:tcPr>
          <w:p w14:paraId="2ECD9609">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防治：叶蝉、飞虱、蛾类、蝇类、小蠊</w:t>
            </w:r>
          </w:p>
        </w:tc>
      </w:tr>
      <w:tr w14:paraId="6FCE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auto"/>
            <w:vAlign w:val="top"/>
          </w:tcPr>
          <w:p w14:paraId="61A94F9F">
            <w:pPr>
              <w:jc w:val="center"/>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高效氯氟氰菊酯</w:t>
            </w:r>
          </w:p>
        </w:tc>
        <w:tc>
          <w:tcPr>
            <w:tcW w:w="877" w:type="dxa"/>
            <w:shd w:val="clear" w:color="auto" w:fill="auto"/>
            <w:vAlign w:val="top"/>
          </w:tcPr>
          <w:p w14:paraId="6D1D6E5A">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15%</w:t>
            </w:r>
          </w:p>
        </w:tc>
        <w:tc>
          <w:tcPr>
            <w:tcW w:w="2043" w:type="dxa"/>
            <w:shd w:val="clear" w:color="auto" w:fill="auto"/>
            <w:vAlign w:val="top"/>
          </w:tcPr>
          <w:p w14:paraId="32964C77">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可溶液</w:t>
            </w:r>
          </w:p>
        </w:tc>
        <w:tc>
          <w:tcPr>
            <w:tcW w:w="1292" w:type="dxa"/>
            <w:shd w:val="clear" w:color="auto" w:fill="auto"/>
            <w:vAlign w:val="top"/>
          </w:tcPr>
          <w:p w14:paraId="0DC35FD1">
            <w:pPr>
              <w:jc w:val="center"/>
              <w:rPr>
                <w:rFonts w:hint="default"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500g/瓶</w:t>
            </w:r>
          </w:p>
        </w:tc>
        <w:tc>
          <w:tcPr>
            <w:tcW w:w="1004" w:type="dxa"/>
            <w:shd w:val="clear" w:color="auto" w:fill="auto"/>
            <w:vAlign w:val="top"/>
          </w:tcPr>
          <w:p w14:paraId="67C13DED">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600kg</w:t>
            </w:r>
          </w:p>
        </w:tc>
        <w:tc>
          <w:tcPr>
            <w:tcW w:w="2861" w:type="dxa"/>
            <w:shd w:val="clear" w:color="auto" w:fill="auto"/>
            <w:vAlign w:val="top"/>
          </w:tcPr>
          <w:p w14:paraId="343DA298">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防治：蚊子成虫、摇蚊成虫、苍蝇、小飞虫</w:t>
            </w:r>
          </w:p>
        </w:tc>
      </w:tr>
      <w:tr w14:paraId="024C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08" w:type="dxa"/>
            <w:shd w:val="clear" w:color="auto" w:fill="auto"/>
            <w:vAlign w:val="top"/>
          </w:tcPr>
          <w:p w14:paraId="6A609E3D">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高效氟氯氰菊酯吡虫啉</w:t>
            </w:r>
          </w:p>
        </w:tc>
        <w:tc>
          <w:tcPr>
            <w:tcW w:w="877" w:type="dxa"/>
            <w:shd w:val="clear" w:color="auto" w:fill="auto"/>
            <w:vAlign w:val="top"/>
          </w:tcPr>
          <w:p w14:paraId="61F427F9">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 xml:space="preserve">9%  </w:t>
            </w:r>
          </w:p>
        </w:tc>
        <w:tc>
          <w:tcPr>
            <w:tcW w:w="2043" w:type="dxa"/>
            <w:shd w:val="clear" w:color="auto" w:fill="auto"/>
            <w:vAlign w:val="top"/>
          </w:tcPr>
          <w:p w14:paraId="6E642C24">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可分散油悬浮剂</w:t>
            </w:r>
          </w:p>
        </w:tc>
        <w:tc>
          <w:tcPr>
            <w:tcW w:w="1292" w:type="dxa"/>
            <w:shd w:val="clear" w:color="auto" w:fill="auto"/>
            <w:vAlign w:val="top"/>
          </w:tcPr>
          <w:p w14:paraId="60CBB54E">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1kg/瓶</w:t>
            </w:r>
          </w:p>
        </w:tc>
        <w:tc>
          <w:tcPr>
            <w:tcW w:w="1004" w:type="dxa"/>
            <w:shd w:val="clear" w:color="auto" w:fill="auto"/>
            <w:vAlign w:val="top"/>
          </w:tcPr>
          <w:p w14:paraId="67729C65">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500kg</w:t>
            </w:r>
          </w:p>
        </w:tc>
        <w:tc>
          <w:tcPr>
            <w:tcW w:w="2861" w:type="dxa"/>
            <w:shd w:val="clear" w:color="auto" w:fill="auto"/>
            <w:vAlign w:val="top"/>
          </w:tcPr>
          <w:p w14:paraId="00CD1FC9">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防治：小蠊、金龟子、蛴螬等地下害虫</w:t>
            </w:r>
          </w:p>
        </w:tc>
      </w:tr>
      <w:tr w14:paraId="1583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08" w:type="dxa"/>
            <w:shd w:val="clear" w:color="auto" w:fill="auto"/>
            <w:vAlign w:val="top"/>
          </w:tcPr>
          <w:p w14:paraId="1D28EE20">
            <w:pPr>
              <w:jc w:val="center"/>
              <w:rPr>
                <w:rFonts w:hint="default"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苏云金杆菌</w:t>
            </w:r>
          </w:p>
        </w:tc>
        <w:tc>
          <w:tcPr>
            <w:tcW w:w="877" w:type="dxa"/>
            <w:shd w:val="clear" w:color="auto" w:fill="auto"/>
            <w:vAlign w:val="top"/>
          </w:tcPr>
          <w:p w14:paraId="5CB00AE3">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8000IU/ul</w:t>
            </w:r>
          </w:p>
        </w:tc>
        <w:tc>
          <w:tcPr>
            <w:tcW w:w="2043" w:type="dxa"/>
            <w:shd w:val="clear" w:color="auto" w:fill="auto"/>
            <w:vAlign w:val="top"/>
          </w:tcPr>
          <w:p w14:paraId="1C0BE56E">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悬浮剂</w:t>
            </w:r>
          </w:p>
        </w:tc>
        <w:tc>
          <w:tcPr>
            <w:tcW w:w="1292" w:type="dxa"/>
            <w:shd w:val="clear" w:color="auto" w:fill="auto"/>
            <w:vAlign w:val="top"/>
          </w:tcPr>
          <w:p w14:paraId="2FEB9505">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1kg/瓶</w:t>
            </w:r>
          </w:p>
        </w:tc>
        <w:tc>
          <w:tcPr>
            <w:tcW w:w="1004" w:type="dxa"/>
            <w:shd w:val="clear" w:color="auto" w:fill="auto"/>
            <w:vAlign w:val="top"/>
          </w:tcPr>
          <w:p w14:paraId="6C247ED7">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500kg</w:t>
            </w:r>
          </w:p>
        </w:tc>
        <w:tc>
          <w:tcPr>
            <w:tcW w:w="2861" w:type="dxa"/>
            <w:shd w:val="clear" w:color="auto" w:fill="auto"/>
            <w:vAlign w:val="top"/>
          </w:tcPr>
          <w:p w14:paraId="131D8550">
            <w:pPr>
              <w:jc w:val="center"/>
              <w:rPr>
                <w:rFonts w:hint="default"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防</w:t>
            </w:r>
            <w:r>
              <w:rPr>
                <w:rFonts w:hint="eastAsia" w:ascii="仿宋" w:hAnsi="仿宋" w:eastAsia="仿宋" w:cs="仿宋"/>
                <w:sz w:val="24"/>
                <w:szCs w:val="32"/>
                <w:lang w:val="en-US" w:eastAsia="zh-CN"/>
              </w:rPr>
              <w:t>治</w:t>
            </w:r>
            <w:r>
              <w:rPr>
                <w:rFonts w:hint="eastAsia" w:ascii="仿宋" w:hAnsi="仿宋" w:eastAsia="仿宋" w:cs="仿宋"/>
                <w:kern w:val="2"/>
                <w:sz w:val="24"/>
                <w:szCs w:val="32"/>
                <w:lang w:val="en-US" w:eastAsia="zh-CN" w:bidi="ar-SA"/>
              </w:rPr>
              <w:t>：蚊子幼虫（孑孓）</w:t>
            </w:r>
          </w:p>
        </w:tc>
      </w:tr>
      <w:tr w14:paraId="61A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auto"/>
            <w:vAlign w:val="top"/>
          </w:tcPr>
          <w:p w14:paraId="48219911">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吡虫啉</w:t>
            </w:r>
          </w:p>
        </w:tc>
        <w:tc>
          <w:tcPr>
            <w:tcW w:w="877" w:type="dxa"/>
            <w:shd w:val="clear" w:color="auto" w:fill="auto"/>
            <w:vAlign w:val="top"/>
          </w:tcPr>
          <w:p w14:paraId="3C2E082A">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 xml:space="preserve">70% </w:t>
            </w:r>
          </w:p>
        </w:tc>
        <w:tc>
          <w:tcPr>
            <w:tcW w:w="2043" w:type="dxa"/>
            <w:shd w:val="clear" w:color="auto" w:fill="auto"/>
            <w:vAlign w:val="top"/>
          </w:tcPr>
          <w:p w14:paraId="09BFFDC8">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水分散粒剂</w:t>
            </w:r>
          </w:p>
        </w:tc>
        <w:tc>
          <w:tcPr>
            <w:tcW w:w="1292" w:type="dxa"/>
            <w:shd w:val="clear" w:color="auto" w:fill="auto"/>
            <w:vAlign w:val="top"/>
          </w:tcPr>
          <w:p w14:paraId="63379723">
            <w:pPr>
              <w:jc w:val="center"/>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500g/袋</w:t>
            </w:r>
          </w:p>
        </w:tc>
        <w:tc>
          <w:tcPr>
            <w:tcW w:w="1004" w:type="dxa"/>
            <w:shd w:val="clear" w:color="auto" w:fill="auto"/>
            <w:vAlign w:val="top"/>
          </w:tcPr>
          <w:p w14:paraId="17033E1C">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1000kg</w:t>
            </w:r>
          </w:p>
        </w:tc>
        <w:tc>
          <w:tcPr>
            <w:tcW w:w="2861" w:type="dxa"/>
            <w:shd w:val="clear" w:color="auto" w:fill="auto"/>
            <w:vAlign w:val="top"/>
          </w:tcPr>
          <w:p w14:paraId="6A49EF19">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防治：叶蝉、飞虱、蚜虫、蝽类、小蠊</w:t>
            </w:r>
          </w:p>
        </w:tc>
      </w:tr>
      <w:tr w14:paraId="1999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auto"/>
            <w:vAlign w:val="top"/>
          </w:tcPr>
          <w:p w14:paraId="24962BD3">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甲维盐</w:t>
            </w:r>
          </w:p>
        </w:tc>
        <w:tc>
          <w:tcPr>
            <w:tcW w:w="877" w:type="dxa"/>
            <w:shd w:val="clear" w:color="auto" w:fill="auto"/>
            <w:vAlign w:val="top"/>
          </w:tcPr>
          <w:p w14:paraId="7A1E8E98">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 xml:space="preserve">3.4% </w:t>
            </w:r>
          </w:p>
        </w:tc>
        <w:tc>
          <w:tcPr>
            <w:tcW w:w="2043" w:type="dxa"/>
            <w:shd w:val="clear" w:color="auto" w:fill="auto"/>
            <w:vAlign w:val="top"/>
          </w:tcPr>
          <w:p w14:paraId="0EE466F4">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微乳剂</w:t>
            </w:r>
          </w:p>
        </w:tc>
        <w:tc>
          <w:tcPr>
            <w:tcW w:w="1292" w:type="dxa"/>
            <w:shd w:val="clear" w:color="auto" w:fill="auto"/>
            <w:vAlign w:val="top"/>
          </w:tcPr>
          <w:p w14:paraId="5C2E0FE2">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1kg/瓶</w:t>
            </w:r>
          </w:p>
        </w:tc>
        <w:tc>
          <w:tcPr>
            <w:tcW w:w="1004" w:type="dxa"/>
            <w:shd w:val="clear" w:color="auto" w:fill="auto"/>
            <w:vAlign w:val="top"/>
          </w:tcPr>
          <w:p w14:paraId="0D25DF44">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800kg</w:t>
            </w:r>
          </w:p>
        </w:tc>
        <w:tc>
          <w:tcPr>
            <w:tcW w:w="2861" w:type="dxa"/>
            <w:shd w:val="clear" w:color="auto" w:fill="auto"/>
            <w:vAlign w:val="top"/>
          </w:tcPr>
          <w:p w14:paraId="6B95ECDC">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防治：夜蛾、螟蛾、尺蛾等鳞翅目</w:t>
            </w:r>
          </w:p>
        </w:tc>
      </w:tr>
      <w:tr w14:paraId="5E47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auto"/>
            <w:vAlign w:val="top"/>
          </w:tcPr>
          <w:p w14:paraId="604CB38A">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虫螨腈</w:t>
            </w:r>
          </w:p>
        </w:tc>
        <w:tc>
          <w:tcPr>
            <w:tcW w:w="877" w:type="dxa"/>
            <w:shd w:val="clear" w:color="auto" w:fill="auto"/>
            <w:vAlign w:val="top"/>
          </w:tcPr>
          <w:p w14:paraId="68C0CE2C">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240g/L</w:t>
            </w:r>
          </w:p>
        </w:tc>
        <w:tc>
          <w:tcPr>
            <w:tcW w:w="2043" w:type="dxa"/>
            <w:shd w:val="clear" w:color="auto" w:fill="auto"/>
            <w:vAlign w:val="top"/>
          </w:tcPr>
          <w:p w14:paraId="2BF5455F">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悬浮剂</w:t>
            </w:r>
          </w:p>
        </w:tc>
        <w:tc>
          <w:tcPr>
            <w:tcW w:w="1292" w:type="dxa"/>
            <w:shd w:val="clear" w:color="auto" w:fill="auto"/>
            <w:vAlign w:val="top"/>
          </w:tcPr>
          <w:p w14:paraId="32C77979">
            <w:pPr>
              <w:jc w:val="center"/>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500g/瓶</w:t>
            </w:r>
          </w:p>
        </w:tc>
        <w:tc>
          <w:tcPr>
            <w:tcW w:w="1004" w:type="dxa"/>
            <w:shd w:val="clear" w:color="auto" w:fill="auto"/>
            <w:vAlign w:val="top"/>
          </w:tcPr>
          <w:p w14:paraId="08DA7D46">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500kg</w:t>
            </w:r>
          </w:p>
        </w:tc>
        <w:tc>
          <w:tcPr>
            <w:tcW w:w="2861" w:type="dxa"/>
            <w:shd w:val="clear" w:color="auto" w:fill="auto"/>
            <w:vAlign w:val="top"/>
          </w:tcPr>
          <w:p w14:paraId="16C6F4C2">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防治：夜蛾、螟蛾、蟑螂、蚂蚁等</w:t>
            </w:r>
          </w:p>
        </w:tc>
      </w:tr>
      <w:tr w14:paraId="189F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shd w:val="clear" w:color="auto" w:fill="auto"/>
            <w:vAlign w:val="top"/>
          </w:tcPr>
          <w:p w14:paraId="7271C7AB">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噻虫嗪</w:t>
            </w:r>
          </w:p>
        </w:tc>
        <w:tc>
          <w:tcPr>
            <w:tcW w:w="877" w:type="dxa"/>
            <w:shd w:val="clear" w:color="auto" w:fill="auto"/>
            <w:vAlign w:val="top"/>
          </w:tcPr>
          <w:p w14:paraId="46CD12E8">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70%</w:t>
            </w:r>
          </w:p>
        </w:tc>
        <w:tc>
          <w:tcPr>
            <w:tcW w:w="2043" w:type="dxa"/>
            <w:shd w:val="clear" w:color="auto" w:fill="auto"/>
            <w:vAlign w:val="top"/>
          </w:tcPr>
          <w:p w14:paraId="5396F3AD">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水分散粒剂</w:t>
            </w:r>
          </w:p>
        </w:tc>
        <w:tc>
          <w:tcPr>
            <w:tcW w:w="1292" w:type="dxa"/>
            <w:shd w:val="clear" w:color="auto" w:fill="auto"/>
            <w:vAlign w:val="top"/>
          </w:tcPr>
          <w:p w14:paraId="4D24DAFE">
            <w:pPr>
              <w:jc w:val="center"/>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500g/袋</w:t>
            </w:r>
          </w:p>
        </w:tc>
        <w:tc>
          <w:tcPr>
            <w:tcW w:w="1004" w:type="dxa"/>
            <w:shd w:val="clear" w:color="auto" w:fill="auto"/>
            <w:vAlign w:val="top"/>
          </w:tcPr>
          <w:p w14:paraId="4BCBF4EE">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500kg</w:t>
            </w:r>
          </w:p>
        </w:tc>
        <w:tc>
          <w:tcPr>
            <w:tcW w:w="2861" w:type="dxa"/>
            <w:shd w:val="clear" w:color="auto" w:fill="auto"/>
            <w:vAlign w:val="top"/>
          </w:tcPr>
          <w:p w14:paraId="48810442">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防治：叶蝉、飞虱、蝽类、粉虱、金龟子、蛴螬等</w:t>
            </w:r>
          </w:p>
        </w:tc>
      </w:tr>
    </w:tbl>
    <w:p w14:paraId="3E4BB22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8"/>
          <w:szCs w:val="36"/>
        </w:rPr>
      </w:pPr>
    </w:p>
    <w:p w14:paraId="182B57D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8"/>
          <w:szCs w:val="36"/>
        </w:rPr>
      </w:pPr>
    </w:p>
    <w:p w14:paraId="4F7EC6B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8"/>
          <w:szCs w:val="36"/>
        </w:rPr>
      </w:pPr>
    </w:p>
    <w:p w14:paraId="18B7926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8"/>
          <w:szCs w:val="36"/>
        </w:rPr>
      </w:pPr>
    </w:p>
    <w:p w14:paraId="61777AB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8"/>
          <w:szCs w:val="36"/>
        </w:rPr>
      </w:pPr>
    </w:p>
    <w:p w14:paraId="4BCA8F0A">
      <w:pPr>
        <w:rPr>
          <w:rFonts w:hint="eastAsia" w:ascii="仿宋" w:hAnsi="仿宋" w:eastAsia="仿宋" w:cs="仿宋"/>
          <w:sz w:val="28"/>
          <w:szCs w:val="36"/>
          <w:lang w:val="en-US" w:eastAsia="zh-CN"/>
        </w:rPr>
      </w:pPr>
      <w:r>
        <w:rPr>
          <w:rFonts w:hint="eastAsia" w:ascii="仿宋" w:hAnsi="仿宋" w:eastAsia="仿宋" w:cs="仿宋"/>
          <w:sz w:val="28"/>
          <w:szCs w:val="36"/>
        </w:rPr>
        <w:t>（</w:t>
      </w:r>
      <w:r>
        <w:rPr>
          <w:rFonts w:hint="eastAsia" w:ascii="仿宋" w:hAnsi="仿宋" w:eastAsia="仿宋" w:cs="仿宋"/>
          <w:sz w:val="28"/>
          <w:szCs w:val="36"/>
          <w:lang w:val="en-US" w:eastAsia="zh-CN"/>
        </w:rPr>
        <w:t>二</w:t>
      </w:r>
      <w:r>
        <w:rPr>
          <w:rFonts w:hint="eastAsia" w:ascii="仿宋" w:hAnsi="仿宋" w:eastAsia="仿宋" w:cs="仿宋"/>
          <w:sz w:val="28"/>
          <w:szCs w:val="36"/>
        </w:rPr>
        <w:t>）</w:t>
      </w:r>
      <w:r>
        <w:rPr>
          <w:rFonts w:hint="eastAsia" w:ascii="仿宋" w:hAnsi="仿宋" w:eastAsia="仿宋" w:cs="仿宋"/>
          <w:sz w:val="28"/>
          <w:szCs w:val="36"/>
          <w:lang w:val="en-US" w:eastAsia="zh-CN"/>
        </w:rPr>
        <w:t>除草剂</w:t>
      </w:r>
    </w:p>
    <w:tbl>
      <w:tblPr>
        <w:tblStyle w:val="7"/>
        <w:tblW w:w="9981" w:type="dxa"/>
        <w:tblInd w:w="-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889"/>
        <w:gridCol w:w="2077"/>
        <w:gridCol w:w="1215"/>
        <w:gridCol w:w="1016"/>
        <w:gridCol w:w="2892"/>
      </w:tblGrid>
      <w:tr w14:paraId="6367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892" w:type="dxa"/>
          </w:tcPr>
          <w:p w14:paraId="1009E1B3">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品种</w:t>
            </w:r>
          </w:p>
        </w:tc>
        <w:tc>
          <w:tcPr>
            <w:tcW w:w="889" w:type="dxa"/>
          </w:tcPr>
          <w:p w14:paraId="42FA5115">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含量</w:t>
            </w:r>
          </w:p>
        </w:tc>
        <w:tc>
          <w:tcPr>
            <w:tcW w:w="2077" w:type="dxa"/>
            <w:shd w:val="clear" w:color="auto" w:fill="auto"/>
            <w:vAlign w:val="top"/>
          </w:tcPr>
          <w:p w14:paraId="43A82A52">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剂型</w:t>
            </w:r>
          </w:p>
        </w:tc>
        <w:tc>
          <w:tcPr>
            <w:tcW w:w="1215" w:type="dxa"/>
            <w:shd w:val="clear" w:color="auto" w:fill="auto"/>
            <w:vAlign w:val="top"/>
          </w:tcPr>
          <w:p w14:paraId="4E41ECD4">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规格</w:t>
            </w:r>
          </w:p>
        </w:tc>
        <w:tc>
          <w:tcPr>
            <w:tcW w:w="1016" w:type="dxa"/>
            <w:shd w:val="clear" w:color="auto" w:fill="auto"/>
            <w:vAlign w:val="top"/>
          </w:tcPr>
          <w:p w14:paraId="54FEE409">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数量</w:t>
            </w:r>
          </w:p>
        </w:tc>
        <w:tc>
          <w:tcPr>
            <w:tcW w:w="2892" w:type="dxa"/>
            <w:shd w:val="clear" w:color="auto" w:fill="auto"/>
            <w:vAlign w:val="top"/>
          </w:tcPr>
          <w:p w14:paraId="3F3444DB">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用途</w:t>
            </w:r>
          </w:p>
        </w:tc>
      </w:tr>
      <w:tr w14:paraId="6C21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14:paraId="1CAFDE77">
            <w:pPr>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草甘膦钾盐</w:t>
            </w:r>
          </w:p>
        </w:tc>
        <w:tc>
          <w:tcPr>
            <w:tcW w:w="889" w:type="dxa"/>
          </w:tcPr>
          <w:p w14:paraId="372C6A62">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37%</w:t>
            </w:r>
          </w:p>
        </w:tc>
        <w:tc>
          <w:tcPr>
            <w:tcW w:w="2077" w:type="dxa"/>
            <w:shd w:val="clear" w:color="auto" w:fill="auto"/>
            <w:vAlign w:val="top"/>
          </w:tcPr>
          <w:p w14:paraId="1F3371D5">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可溶液剂</w:t>
            </w:r>
          </w:p>
        </w:tc>
        <w:tc>
          <w:tcPr>
            <w:tcW w:w="1215" w:type="dxa"/>
            <w:shd w:val="clear" w:color="auto" w:fill="auto"/>
            <w:vAlign w:val="top"/>
          </w:tcPr>
          <w:p w14:paraId="4CEE4AD5">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1kg/瓶</w:t>
            </w:r>
          </w:p>
        </w:tc>
        <w:tc>
          <w:tcPr>
            <w:tcW w:w="1016" w:type="dxa"/>
            <w:shd w:val="clear" w:color="auto" w:fill="auto"/>
            <w:vAlign w:val="top"/>
          </w:tcPr>
          <w:p w14:paraId="543D0C74">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1000kg</w:t>
            </w:r>
          </w:p>
        </w:tc>
        <w:tc>
          <w:tcPr>
            <w:tcW w:w="2892" w:type="dxa"/>
            <w:shd w:val="clear" w:color="auto" w:fill="auto"/>
            <w:vAlign w:val="top"/>
          </w:tcPr>
          <w:p w14:paraId="3517C9D3">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除草</w:t>
            </w:r>
          </w:p>
        </w:tc>
      </w:tr>
      <w:tr w14:paraId="46C6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14:paraId="4BF51712">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精草铵膦</w:t>
            </w:r>
          </w:p>
        </w:tc>
        <w:tc>
          <w:tcPr>
            <w:tcW w:w="889" w:type="dxa"/>
          </w:tcPr>
          <w:p w14:paraId="7ACE3726">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20%</w:t>
            </w:r>
          </w:p>
        </w:tc>
        <w:tc>
          <w:tcPr>
            <w:tcW w:w="2077" w:type="dxa"/>
            <w:shd w:val="clear" w:color="auto" w:fill="auto"/>
            <w:vAlign w:val="top"/>
          </w:tcPr>
          <w:p w14:paraId="3394AC1C">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可溶液剂</w:t>
            </w:r>
          </w:p>
        </w:tc>
        <w:tc>
          <w:tcPr>
            <w:tcW w:w="1215" w:type="dxa"/>
            <w:shd w:val="clear" w:color="auto" w:fill="auto"/>
            <w:vAlign w:val="top"/>
          </w:tcPr>
          <w:p w14:paraId="7E0D969E">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1kg/瓶</w:t>
            </w:r>
          </w:p>
        </w:tc>
        <w:tc>
          <w:tcPr>
            <w:tcW w:w="1016" w:type="dxa"/>
            <w:shd w:val="clear" w:color="auto" w:fill="auto"/>
            <w:vAlign w:val="top"/>
          </w:tcPr>
          <w:p w14:paraId="1A5EA12E">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500kg</w:t>
            </w:r>
          </w:p>
        </w:tc>
        <w:tc>
          <w:tcPr>
            <w:tcW w:w="2892" w:type="dxa"/>
            <w:shd w:val="clear" w:color="auto" w:fill="auto"/>
            <w:vAlign w:val="top"/>
          </w:tcPr>
          <w:p w14:paraId="250CA766">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除草</w:t>
            </w:r>
          </w:p>
        </w:tc>
      </w:tr>
    </w:tbl>
    <w:p w14:paraId="519481B7">
      <w:pPr>
        <w:rPr>
          <w:rFonts w:hint="eastAsia" w:ascii="仿宋" w:hAnsi="仿宋" w:eastAsia="仿宋" w:cs="仿宋"/>
          <w:sz w:val="28"/>
          <w:szCs w:val="36"/>
        </w:rPr>
      </w:pPr>
      <w:r>
        <w:rPr>
          <w:rFonts w:hint="eastAsia" w:ascii="仿宋" w:hAnsi="仿宋" w:eastAsia="仿宋" w:cs="仿宋"/>
          <w:sz w:val="28"/>
          <w:szCs w:val="36"/>
        </w:rPr>
        <w:t>（</w:t>
      </w:r>
      <w:r>
        <w:rPr>
          <w:rFonts w:hint="eastAsia" w:ascii="仿宋" w:hAnsi="仿宋" w:eastAsia="仿宋" w:cs="仿宋"/>
          <w:sz w:val="28"/>
          <w:szCs w:val="36"/>
          <w:lang w:val="en-US" w:eastAsia="zh-CN"/>
        </w:rPr>
        <w:t>三</w:t>
      </w:r>
      <w:r>
        <w:rPr>
          <w:rFonts w:hint="eastAsia" w:ascii="仿宋" w:hAnsi="仿宋" w:eastAsia="仿宋" w:cs="仿宋"/>
          <w:sz w:val="28"/>
          <w:szCs w:val="36"/>
        </w:rPr>
        <w:t>）禁用</w:t>
      </w:r>
      <w:r>
        <w:rPr>
          <w:rFonts w:hint="eastAsia" w:ascii="仿宋" w:hAnsi="仿宋" w:eastAsia="仿宋" w:cs="仿宋"/>
          <w:sz w:val="28"/>
          <w:szCs w:val="36"/>
          <w:lang w:val="en-US" w:eastAsia="zh-CN"/>
        </w:rPr>
        <w:t>/</w:t>
      </w:r>
      <w:r>
        <w:rPr>
          <w:rFonts w:hint="eastAsia" w:ascii="仿宋" w:hAnsi="仿宋" w:eastAsia="仿宋" w:cs="仿宋"/>
          <w:sz w:val="28"/>
          <w:szCs w:val="36"/>
        </w:rPr>
        <w:t>限制说明</w:t>
      </w:r>
    </w:p>
    <w:p w14:paraId="022F663F">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w:t>
      </w:r>
      <w:r>
        <w:rPr>
          <w:rFonts w:hint="eastAsia" w:ascii="仿宋" w:hAnsi="仿宋" w:eastAsia="仿宋" w:cs="仿宋"/>
          <w:sz w:val="28"/>
          <w:szCs w:val="36"/>
        </w:rPr>
        <w:t>禁止提供高毒、高残留、强挥发性药剂</w:t>
      </w:r>
      <w:r>
        <w:rPr>
          <w:rFonts w:hint="eastAsia" w:ascii="仿宋" w:hAnsi="仿宋" w:eastAsia="仿宋" w:cs="仿宋"/>
          <w:sz w:val="28"/>
          <w:szCs w:val="36"/>
          <w:lang w:eastAsia="zh-CN"/>
        </w:rPr>
        <w:t>。</w:t>
      </w:r>
    </w:p>
    <w:p w14:paraId="7B3EC9AA">
      <w:pPr>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所有药剂必须符合机场净空、道面安全、环保要求。</w:t>
      </w:r>
    </w:p>
    <w:p w14:paraId="46039CF3">
      <w:pPr>
        <w:numPr>
          <w:ilvl w:val="0"/>
          <w:numId w:val="1"/>
        </w:numPr>
        <w:rPr>
          <w:rFonts w:hint="eastAsia" w:ascii="黑体" w:hAnsi="黑体" w:eastAsia="黑体" w:cs="黑体"/>
          <w:sz w:val="40"/>
          <w:szCs w:val="48"/>
        </w:rPr>
      </w:pPr>
      <w:r>
        <w:rPr>
          <w:rFonts w:hint="eastAsia" w:ascii="黑体" w:hAnsi="黑体" w:eastAsia="黑体" w:cs="黑体"/>
          <w:sz w:val="40"/>
          <w:szCs w:val="48"/>
        </w:rPr>
        <w:t>技术服务要求</w:t>
      </w:r>
    </w:p>
    <w:p w14:paraId="63BF850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b/>
          <w:bCs/>
          <w:sz w:val="28"/>
          <w:szCs w:val="36"/>
          <w:lang w:val="en-US" w:eastAsia="zh-CN"/>
        </w:rPr>
      </w:pPr>
      <w:r>
        <w:rPr>
          <w:rFonts w:hint="eastAsia" w:ascii="仿宋" w:hAnsi="仿宋" w:eastAsia="仿宋" w:cs="仿宋"/>
          <w:sz w:val="28"/>
          <w:szCs w:val="36"/>
          <w:lang w:val="en-US" w:eastAsia="zh-CN"/>
        </w:rPr>
        <w:t>供应商须根据</w:t>
      </w:r>
      <w:r>
        <w:rPr>
          <w:rFonts w:hint="eastAsia" w:ascii="仿宋" w:hAnsi="仿宋" w:eastAsia="仿宋" w:cs="仿宋"/>
          <w:sz w:val="28"/>
          <w:szCs w:val="36"/>
        </w:rPr>
        <w:t>《珠海机场飞行区昆虫群落调查报告（2025）》</w:t>
      </w:r>
      <w:r>
        <w:rPr>
          <w:rFonts w:hint="eastAsia" w:ascii="仿宋" w:hAnsi="仿宋" w:eastAsia="仿宋" w:cs="仿宋"/>
          <w:sz w:val="28"/>
          <w:szCs w:val="36"/>
          <w:lang w:val="en-US" w:eastAsia="zh-CN"/>
        </w:rPr>
        <w:t>提供完整、可落地的药剂使用技术方案，并按要求，以统一表格形式提交以下技术服务内容，确保用药精准、安全。详见附件《珠海机场专用杀虫剂使用技术一览表》。</w:t>
      </w:r>
      <w:r>
        <w:rPr>
          <w:rFonts w:hint="eastAsia" w:ascii="仿宋" w:hAnsi="仿宋" w:eastAsia="仿宋" w:cs="仿宋"/>
          <w:sz w:val="28"/>
          <w:szCs w:val="36"/>
        </w:rPr>
        <w:t>中标供应商所提交该技术一览表，须严格依据本</w:t>
      </w:r>
      <w:r>
        <w:rPr>
          <w:rFonts w:hint="eastAsia" w:ascii="仿宋" w:hAnsi="仿宋" w:eastAsia="仿宋" w:cs="仿宋"/>
          <w:sz w:val="28"/>
          <w:szCs w:val="36"/>
          <w:lang w:val="en-US" w:eastAsia="zh-CN"/>
        </w:rPr>
        <w:t>场虫情</w:t>
      </w:r>
      <w:r>
        <w:rPr>
          <w:rFonts w:hint="eastAsia" w:ascii="仿宋" w:hAnsi="仿宋" w:eastAsia="仿宋" w:cs="仿宋"/>
          <w:sz w:val="28"/>
          <w:szCs w:val="36"/>
        </w:rPr>
        <w:t>调查报告编制，内容须包含药剂有效成分、推荐用量、兑水配比、施药频次、施药窗口期、施药安全间隔期、环境防护要求、飞行区作业安全规范、药害防控措施，方案须具备科学合理性、现场可落地性、民航场地用药安全性。</w:t>
      </w:r>
      <w:r>
        <w:rPr>
          <w:rFonts w:hint="eastAsia" w:ascii="仿宋" w:hAnsi="仿宋" w:eastAsia="仿宋" w:cs="仿宋"/>
          <w:b/>
          <w:bCs/>
          <w:sz w:val="28"/>
          <w:szCs w:val="36"/>
        </w:rPr>
        <w:t>我方技术部门拥有该方案最终审核确认权；方案审核不达标须无偿限期修改，多次整改不合格采购人有权取消中标资格。</w:t>
      </w:r>
    </w:p>
    <w:p w14:paraId="2FDAD4B7">
      <w:pPr>
        <w:numPr>
          <w:ilvl w:val="0"/>
          <w:numId w:val="0"/>
        </w:numPr>
        <w:rPr>
          <w:rFonts w:hint="eastAsia" w:ascii="黑体" w:hAnsi="黑体" w:eastAsia="黑体" w:cs="黑体"/>
          <w:sz w:val="40"/>
          <w:szCs w:val="48"/>
        </w:rPr>
      </w:pPr>
      <w:r>
        <w:rPr>
          <w:rFonts w:hint="eastAsia" w:ascii="黑体" w:hAnsi="黑体" w:eastAsia="黑体" w:cs="黑体"/>
          <w:sz w:val="40"/>
          <w:szCs w:val="48"/>
          <w:lang w:val="en-US" w:eastAsia="zh-CN"/>
        </w:rPr>
        <w:t>四、</w:t>
      </w:r>
      <w:r>
        <w:rPr>
          <w:rFonts w:hint="eastAsia" w:ascii="黑体" w:hAnsi="黑体" w:eastAsia="黑体" w:cs="黑体"/>
          <w:sz w:val="40"/>
          <w:szCs w:val="48"/>
        </w:rPr>
        <w:t>供应商资质要求</w:t>
      </w:r>
    </w:p>
    <w:p w14:paraId="5D4AA9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1.</w:t>
      </w:r>
      <w:r>
        <w:rPr>
          <w:rFonts w:hint="eastAsia" w:ascii="仿宋" w:hAnsi="仿宋" w:eastAsia="仿宋" w:cs="宋体"/>
          <w:sz w:val="28"/>
          <w:szCs w:val="28"/>
        </w:rPr>
        <w:t>供应商</w:t>
      </w:r>
      <w:r>
        <w:rPr>
          <w:rFonts w:hint="eastAsia" w:ascii="仿宋" w:hAnsi="仿宋" w:eastAsia="仿宋" w:cs="宋体"/>
          <w:sz w:val="28"/>
          <w:szCs w:val="28"/>
          <w:lang w:val="en-US" w:eastAsia="zh-CN"/>
        </w:rPr>
        <w:t>需</w:t>
      </w:r>
      <w:r>
        <w:rPr>
          <w:rFonts w:hint="eastAsia" w:ascii="仿宋" w:hAnsi="仿宋" w:eastAsia="仿宋" w:cs="仿宋"/>
          <w:sz w:val="28"/>
          <w:szCs w:val="36"/>
        </w:rPr>
        <w:t>具备农药经营许可证</w:t>
      </w:r>
      <w:r>
        <w:rPr>
          <w:rFonts w:hint="eastAsia" w:ascii="仿宋" w:hAnsi="仿宋" w:eastAsia="仿宋" w:cs="仿宋"/>
          <w:sz w:val="28"/>
          <w:szCs w:val="36"/>
          <w:lang w:val="en-US" w:eastAsia="zh-CN"/>
        </w:rPr>
        <w:t>/</w:t>
      </w:r>
      <w:r>
        <w:rPr>
          <w:rFonts w:hint="eastAsia" w:ascii="仿宋" w:hAnsi="仿宋" w:eastAsia="仿宋" w:cs="仿宋"/>
          <w:sz w:val="28"/>
          <w:szCs w:val="36"/>
        </w:rPr>
        <w:t>生产许可证</w:t>
      </w:r>
      <w:r>
        <w:rPr>
          <w:rFonts w:hint="eastAsia" w:ascii="仿宋" w:hAnsi="仿宋" w:eastAsia="仿宋" w:cs="仿宋"/>
          <w:sz w:val="28"/>
          <w:szCs w:val="36"/>
          <w:lang w:eastAsia="zh-CN"/>
        </w:rPr>
        <w:t>。</w:t>
      </w:r>
    </w:p>
    <w:p w14:paraId="50151DFB">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auto"/>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五、检测报告要求</w:t>
      </w:r>
    </w:p>
    <w:p w14:paraId="54C3A66A">
      <w:pPr>
        <w:numPr>
          <w:ilvl w:val="0"/>
          <w:numId w:val="0"/>
        </w:numPr>
        <w:ind w:firstLine="560" w:firstLineChars="200"/>
        <w:rPr>
          <w:rFonts w:hint="eastAsia" w:ascii="仿宋" w:hAnsi="仿宋" w:eastAsia="仿宋" w:cs="宋体"/>
          <w:sz w:val="28"/>
          <w:szCs w:val="28"/>
        </w:rPr>
      </w:pPr>
      <w:r>
        <w:rPr>
          <w:rFonts w:hint="eastAsia" w:ascii="仿宋" w:hAnsi="仿宋" w:eastAsia="仿宋" w:cs="宋体"/>
          <w:sz w:val="28"/>
          <w:szCs w:val="28"/>
        </w:rPr>
        <w:t>供应商中选后，每次送货前须按我方通知，提供单次送货产品中1～2 种抽检品类的全套CMA合规佐证材料，具体分为产品检测文件与检测机构资质文件两类：</w:t>
      </w:r>
      <w:bookmarkStart w:id="0" w:name="_GoBack"/>
      <w:bookmarkEnd w:id="0"/>
    </w:p>
    <w:p w14:paraId="487B5FA1">
      <w:pPr>
        <w:numPr>
          <w:ilvl w:val="-1"/>
          <w:numId w:val="0"/>
        </w:numPr>
        <w:ind w:left="0" w:leftChars="0" w:firstLine="560" w:firstLineChars="200"/>
        <w:rPr>
          <w:rFonts w:hint="eastAsia"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1）</w:t>
      </w:r>
      <w:r>
        <w:rPr>
          <w:rFonts w:hint="eastAsia" w:ascii="仿宋" w:hAnsi="仿宋" w:eastAsia="仿宋" w:cs="宋体"/>
          <w:sz w:val="28"/>
          <w:szCs w:val="28"/>
        </w:rPr>
        <w:t>产品检测文件：提供对应批次农药CMA第三方含量检测报告，并附检测单位联系方式；报告编码须可在全国认监委官网查询，报告合法有效、可公开公示，接受全过程监督核查。</w:t>
      </w:r>
    </w:p>
    <w:p w14:paraId="72F1960A">
      <w:pPr>
        <w:numPr>
          <w:ilvl w:val="-1"/>
          <w:numId w:val="0"/>
        </w:numPr>
        <w:ind w:left="0" w:leftChars="0" w:firstLine="560" w:firstLineChars="200"/>
        <w:rPr>
          <w:rFonts w:hint="eastAsia"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w:t>
      </w:r>
      <w:r>
        <w:rPr>
          <w:rFonts w:hint="eastAsia" w:ascii="仿宋" w:hAnsi="仿宋" w:eastAsia="仿宋" w:cs="宋体"/>
          <w:sz w:val="28"/>
          <w:szCs w:val="28"/>
        </w:rPr>
        <w:t>检测机构资质文件：提交检测单位CMA资质证书扫描件、全国CMA官网资质查询截图，以及检测机构涵盖本次抽检农药品类的检测范围查询截图，确保所有资质真实有效、可线上溯源核验。</w:t>
      </w:r>
    </w:p>
    <w:p w14:paraId="6214C09B">
      <w:pPr>
        <w:numPr>
          <w:ilvl w:val="-1"/>
          <w:numId w:val="0"/>
        </w:numPr>
        <w:ind w:firstLine="560" w:firstLineChars="200"/>
        <w:rPr>
          <w:rFonts w:hint="eastAsia" w:ascii="黑体" w:hAnsi="黑体" w:eastAsia="黑体" w:cs="黑体"/>
          <w:sz w:val="40"/>
          <w:szCs w:val="48"/>
          <w:lang w:val="en-US" w:eastAsia="zh-CN"/>
        </w:rPr>
      </w:pPr>
      <w:r>
        <w:rPr>
          <w:rFonts w:hint="eastAsia" w:ascii="仿宋" w:hAnsi="仿宋" w:eastAsia="仿宋" w:cs="宋体"/>
          <w:sz w:val="28"/>
          <w:szCs w:val="28"/>
        </w:rPr>
        <w:t>若供应商逾期未提供、无法提供抽检资料，或提交材料不符合上述合规要求，我方有权无条件解除合同，并依法追究供应商相关违约责任。</w:t>
      </w:r>
    </w:p>
    <w:p w14:paraId="0EE329D9">
      <w:pPr>
        <w:numPr>
          <w:ilvl w:val="0"/>
          <w:numId w:val="0"/>
        </w:numPr>
        <w:rPr>
          <w:rFonts w:hint="eastAsia" w:ascii="黑体" w:hAnsi="黑体" w:eastAsia="黑体" w:cs="黑体"/>
          <w:sz w:val="40"/>
          <w:szCs w:val="48"/>
        </w:rPr>
      </w:pPr>
      <w:r>
        <w:rPr>
          <w:rFonts w:hint="eastAsia" w:ascii="黑体" w:hAnsi="黑体" w:eastAsia="黑体" w:cs="黑体"/>
          <w:sz w:val="40"/>
          <w:szCs w:val="48"/>
          <w:lang w:val="en-US" w:eastAsia="zh-CN"/>
        </w:rPr>
        <w:t>六</w:t>
      </w:r>
      <w:r>
        <w:rPr>
          <w:rFonts w:hint="eastAsia" w:ascii="黑体" w:hAnsi="黑体" w:eastAsia="黑体" w:cs="黑体"/>
          <w:sz w:val="40"/>
          <w:szCs w:val="48"/>
        </w:rPr>
        <w:t>、供货与服务要求</w:t>
      </w:r>
    </w:p>
    <w:p w14:paraId="2623F1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1.供应商所供农药产品生产日期须为近</w:t>
      </w:r>
      <w:r>
        <w:rPr>
          <w:rFonts w:hint="eastAsia" w:ascii="仿宋" w:hAnsi="仿宋" w:eastAsia="仿宋" w:cs="仿宋"/>
          <w:b/>
          <w:bCs/>
          <w:sz w:val="28"/>
          <w:szCs w:val="36"/>
          <w:lang w:val="en-US" w:eastAsia="zh-CN"/>
        </w:rPr>
        <w:t>6个月</w:t>
      </w:r>
      <w:r>
        <w:rPr>
          <w:rFonts w:hint="eastAsia" w:ascii="仿宋" w:hAnsi="仿宋" w:eastAsia="仿宋" w:cs="仿宋"/>
          <w:sz w:val="28"/>
          <w:szCs w:val="36"/>
          <w:lang w:val="en-US" w:eastAsia="zh-CN"/>
        </w:rPr>
        <w:t>以内，确保药剂新鲜、有效成分稳定、药效可靠。产品包装必须清晰标注：生产日期、批号、有效期、生产厂家、登记证号、生产许可证号，信息完整可追溯。若发现药剂生产日期不新鲜、效期不足、包装破损或质量异常，采购方有权拒收、退货、更换，并追究相应责任。</w:t>
      </w:r>
    </w:p>
    <w:p w14:paraId="662BF5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2.所供水溶性农药均需速溶于水，颗粒撒施型除外，在常温 20℃～25℃下，按规定配比配制时，产品须在 3 分钟内完全溶解，无颗粒、无结晶、无絮状物、无沉淀；配制好的药液静置 10 分钟，不得出现分层、漂油、结块或结晶现象；在喷药车标准喷头（孔径 ＜1mm）下连续喷射，不得出现堵塞、断喷情况。在规定配比下若供应商提供的水溶性农药因品质问题导致不溶解、出现结晶、沉淀或堵塞喷药设备，</w:t>
      </w:r>
      <w:r>
        <w:rPr>
          <w:rFonts w:hint="eastAsia" w:ascii="仿宋" w:hAnsi="仿宋" w:eastAsia="仿宋" w:cs="仿宋"/>
          <w:b/>
          <w:bCs/>
          <w:sz w:val="28"/>
          <w:szCs w:val="36"/>
          <w:lang w:val="en-US" w:eastAsia="zh-CN"/>
        </w:rPr>
        <w:t>供应商需负责退换产品并承担由此造成的全部损失</w:t>
      </w:r>
      <w:r>
        <w:rPr>
          <w:rFonts w:hint="eastAsia" w:ascii="仿宋" w:hAnsi="仿宋" w:eastAsia="仿宋" w:cs="仿宋"/>
          <w:sz w:val="28"/>
          <w:szCs w:val="36"/>
          <w:lang w:val="en-US" w:eastAsia="zh-CN"/>
        </w:rPr>
        <w:t>（含喷药设备维修、停工、人工、运营延误等）。</w:t>
      </w:r>
    </w:p>
    <w:p w14:paraId="18911D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3.供应商</w:t>
      </w:r>
      <w:r>
        <w:rPr>
          <w:rFonts w:hint="eastAsia" w:ascii="仿宋" w:hAnsi="仿宋" w:eastAsia="仿宋" w:cs="仿宋"/>
          <w:sz w:val="28"/>
          <w:szCs w:val="36"/>
        </w:rPr>
        <w:t>提供</w:t>
      </w:r>
      <w:r>
        <w:rPr>
          <w:rFonts w:hint="eastAsia" w:ascii="仿宋" w:hAnsi="仿宋" w:eastAsia="仿宋" w:cs="仿宋"/>
          <w:sz w:val="28"/>
          <w:szCs w:val="36"/>
          <w:lang w:val="en-US" w:eastAsia="zh-CN"/>
        </w:rPr>
        <w:t>详细</w:t>
      </w:r>
      <w:r>
        <w:rPr>
          <w:rFonts w:hint="eastAsia" w:ascii="仿宋" w:hAnsi="仿宋" w:eastAsia="仿宋" w:cs="仿宋"/>
          <w:sz w:val="28"/>
          <w:szCs w:val="36"/>
        </w:rPr>
        <w:t>用药手册、配比表、</w:t>
      </w:r>
      <w:r>
        <w:rPr>
          <w:rFonts w:hint="eastAsia" w:ascii="仿宋" w:hAnsi="仿宋" w:eastAsia="仿宋" w:cs="仿宋"/>
          <w:sz w:val="28"/>
          <w:szCs w:val="36"/>
          <w:lang w:val="en-US" w:eastAsia="zh-CN"/>
        </w:rPr>
        <w:t>可复配剂型及复配比列、</w:t>
      </w:r>
      <w:r>
        <w:rPr>
          <w:rFonts w:hint="eastAsia" w:ascii="仿宋" w:hAnsi="仿宋" w:eastAsia="仿宋" w:cs="仿宋"/>
          <w:sz w:val="28"/>
          <w:szCs w:val="36"/>
        </w:rPr>
        <w:t>安全防护须知</w:t>
      </w:r>
      <w:r>
        <w:rPr>
          <w:rFonts w:hint="eastAsia" w:ascii="仿宋" w:hAnsi="仿宋" w:eastAsia="仿宋" w:cs="仿宋"/>
          <w:sz w:val="28"/>
          <w:szCs w:val="36"/>
          <w:lang w:val="en-US" w:eastAsia="zh-CN"/>
        </w:rPr>
        <w:t>等。</w:t>
      </w:r>
    </w:p>
    <w:p w14:paraId="234C8F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4.</w:t>
      </w:r>
      <w:r>
        <w:rPr>
          <w:rFonts w:hint="eastAsia" w:ascii="仿宋" w:hAnsi="仿宋" w:eastAsia="仿宋" w:cs="仿宋"/>
          <w:sz w:val="28"/>
          <w:szCs w:val="36"/>
        </w:rPr>
        <w:t>分批次供货，全年不少于</w:t>
      </w:r>
      <w:r>
        <w:rPr>
          <w:rFonts w:hint="eastAsia" w:ascii="仿宋" w:hAnsi="仿宋" w:eastAsia="仿宋" w:cs="仿宋"/>
          <w:sz w:val="28"/>
          <w:szCs w:val="36"/>
          <w:lang w:val="en-US" w:eastAsia="zh-CN"/>
        </w:rPr>
        <w:t>5</w:t>
      </w:r>
      <w:r>
        <w:rPr>
          <w:rFonts w:hint="eastAsia" w:ascii="仿宋" w:hAnsi="仿宋" w:eastAsia="仿宋" w:cs="仿宋"/>
          <w:sz w:val="28"/>
          <w:szCs w:val="36"/>
        </w:rPr>
        <w:t>批次</w:t>
      </w:r>
      <w:r>
        <w:rPr>
          <w:rFonts w:hint="eastAsia" w:ascii="仿宋" w:hAnsi="仿宋" w:eastAsia="仿宋" w:cs="仿宋"/>
          <w:sz w:val="28"/>
          <w:szCs w:val="36"/>
          <w:lang w:eastAsia="zh-CN"/>
        </w:rPr>
        <w:t>。</w:t>
      </w:r>
      <w:r>
        <w:rPr>
          <w:rFonts w:hint="eastAsia" w:ascii="仿宋" w:hAnsi="仿宋" w:eastAsia="仿宋" w:cs="仿宋"/>
          <w:sz w:val="28"/>
          <w:szCs w:val="36"/>
        </w:rPr>
        <w:t>接到发货通知后7日内送达珠海机场指定地点</w:t>
      </w:r>
      <w:r>
        <w:rPr>
          <w:rFonts w:hint="eastAsia" w:ascii="仿宋" w:hAnsi="仿宋" w:eastAsia="仿宋" w:cs="仿宋"/>
          <w:sz w:val="28"/>
          <w:szCs w:val="36"/>
          <w:lang w:eastAsia="zh-CN"/>
        </w:rPr>
        <w:t>。</w:t>
      </w:r>
    </w:p>
    <w:p w14:paraId="12A8B9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5.供应商应具备废弃农药包装物回收处置能力，</w:t>
      </w:r>
      <w:r>
        <w:rPr>
          <w:rFonts w:hint="eastAsia" w:ascii="仿宋" w:hAnsi="仿宋" w:eastAsia="仿宋" w:cs="仿宋"/>
          <w:sz w:val="28"/>
          <w:szCs w:val="36"/>
        </w:rPr>
        <w:t>农药使用完毕后，供应商需对废弃农药瓶及包装进行合法合规处理，处理方案提前报甲方审批，期间产生的费用由供应商承担。如废弃农药瓶及包装因供应商处理不当而造成的处罚及赔偿全部由供应商承担，甲方无需承担任何责任。</w:t>
      </w:r>
    </w:p>
    <w:p w14:paraId="729E6F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6.</w:t>
      </w:r>
      <w:r>
        <w:rPr>
          <w:rFonts w:hint="eastAsia" w:ascii="仿宋" w:hAnsi="仿宋" w:eastAsia="仿宋" w:cs="仿宋"/>
          <w:sz w:val="28"/>
          <w:szCs w:val="36"/>
        </w:rPr>
        <w:t>项目服务期：1 年。</w:t>
      </w:r>
    </w:p>
    <w:p w14:paraId="3625407E">
      <w:pPr>
        <w:rPr>
          <w:rFonts w:hint="eastAsia" w:ascii="仿宋" w:hAnsi="仿宋" w:eastAsia="仿宋" w:cs="仿宋"/>
          <w:sz w:val="28"/>
          <w:szCs w:val="36"/>
        </w:rPr>
        <w:sectPr>
          <w:pgSz w:w="11906" w:h="16838"/>
          <w:pgMar w:top="1440" w:right="1800" w:bottom="1440" w:left="1800" w:header="851" w:footer="992" w:gutter="0"/>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50"/>
        <w:gridCol w:w="11988"/>
      </w:tblGrid>
      <w:tr w14:paraId="0100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3"/>
            <w:shd w:val="clear" w:color="auto" w:fill="auto"/>
            <w:vAlign w:val="top"/>
          </w:tcPr>
          <w:p w14:paraId="399B0D9E">
            <w:pPr>
              <w:spacing w:beforeLines="0" w:afterLines="0"/>
              <w:jc w:val="center"/>
              <w:rPr>
                <w:rFonts w:hint="eastAsia" w:ascii="黑体" w:hAnsi="黑体" w:eastAsia="黑体" w:cstheme="minorBidi"/>
                <w:color w:val="000000"/>
                <w:kern w:val="2"/>
                <w:sz w:val="24"/>
                <w:szCs w:val="28"/>
                <w:lang w:val="en-US" w:eastAsia="zh-CN" w:bidi="ar-SA"/>
              </w:rPr>
            </w:pPr>
            <w:r>
              <w:rPr>
                <w:rFonts w:hint="eastAsia" w:ascii="黑体" w:hAnsi="黑体" w:eastAsia="黑体"/>
                <w:color w:val="000000"/>
                <w:sz w:val="24"/>
                <w:szCs w:val="28"/>
              </w:rPr>
              <w:t>珠海机场专用杀虫剂使用技术一览表</w:t>
            </w:r>
          </w:p>
        </w:tc>
      </w:tr>
      <w:tr w14:paraId="24FD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restart"/>
            <w:shd w:val="clear" w:color="auto" w:fill="auto"/>
            <w:vAlign w:val="top"/>
          </w:tcPr>
          <w:p w14:paraId="2518C3F8">
            <w:pPr>
              <w:spacing w:beforeLines="0" w:afterLines="0"/>
              <w:jc w:val="left"/>
              <w:rPr>
                <w:rFonts w:hint="eastAsia" w:ascii="仿宋" w:hAnsi="仿宋" w:eastAsia="仿宋"/>
                <w:color w:val="000000"/>
                <w:sz w:val="24"/>
                <w:szCs w:val="28"/>
              </w:rPr>
            </w:pPr>
            <w:r>
              <w:rPr>
                <w:rFonts w:hint="eastAsia" w:ascii="仿宋" w:hAnsi="仿宋" w:eastAsia="仿宋"/>
                <w:color w:val="000000"/>
                <w:sz w:val="24"/>
                <w:szCs w:val="28"/>
                <w:lang w:val="en-US" w:eastAsia="zh-CN"/>
              </w:rPr>
              <w:t>1.</w:t>
            </w:r>
            <w:r>
              <w:rPr>
                <w:rFonts w:hint="eastAsia" w:ascii="仿宋" w:hAnsi="仿宋" w:eastAsia="仿宋"/>
                <w:color w:val="000000"/>
                <w:sz w:val="24"/>
                <w:szCs w:val="28"/>
              </w:rPr>
              <w:t>高效氯氰菊酯（4.5%水乳剂）</w:t>
            </w:r>
          </w:p>
          <w:p w14:paraId="59923DCF">
            <w:pPr>
              <w:spacing w:beforeLines="0" w:afterLines="0"/>
              <w:jc w:val="left"/>
              <w:rPr>
                <w:rFonts w:hint="eastAsia" w:ascii="仿宋" w:hAnsi="仿宋" w:eastAsia="仿宋" w:cstheme="minorBidi"/>
                <w:color w:val="FF0000"/>
                <w:kern w:val="2"/>
                <w:sz w:val="24"/>
                <w:szCs w:val="28"/>
                <w:lang w:val="en-US" w:eastAsia="zh-CN" w:bidi="ar-SA"/>
              </w:rPr>
            </w:pPr>
            <w:r>
              <w:rPr>
                <w:rFonts w:hint="eastAsia" w:ascii="仿宋" w:hAnsi="仿宋" w:eastAsia="仿宋"/>
                <w:b/>
                <w:bCs/>
                <w:color w:val="FF0000"/>
                <w:sz w:val="24"/>
                <w:szCs w:val="28"/>
              </w:rPr>
              <w:t>（此为案例，仅供参考，需以实际情况填写）</w:t>
            </w:r>
          </w:p>
        </w:tc>
        <w:tc>
          <w:tcPr>
            <w:tcW w:w="1250" w:type="dxa"/>
            <w:shd w:val="clear" w:color="auto" w:fill="auto"/>
            <w:vAlign w:val="top"/>
          </w:tcPr>
          <w:p w14:paraId="76AADEA9">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防治靶标害虫</w:t>
            </w:r>
          </w:p>
        </w:tc>
        <w:tc>
          <w:tcPr>
            <w:tcW w:w="11988" w:type="dxa"/>
            <w:shd w:val="clear" w:color="auto" w:fill="auto"/>
            <w:vAlign w:val="top"/>
          </w:tcPr>
          <w:p w14:paraId="09C02D5A">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核心靶标：叶蝉科、飞虱科；次要靶标：蝇科、寄蝇科、麻蝇科、姬蠊科、螽蟖科，兼顾机场常见广谱虫害防控</w:t>
            </w:r>
          </w:p>
        </w:tc>
      </w:tr>
      <w:tr w14:paraId="0C67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shd w:val="clear" w:color="auto" w:fill="auto"/>
            <w:vAlign w:val="top"/>
          </w:tcPr>
          <w:p w14:paraId="6BA450DA">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035DA2D4">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使用区域</w:t>
            </w:r>
          </w:p>
        </w:tc>
        <w:tc>
          <w:tcPr>
            <w:tcW w:w="11988" w:type="dxa"/>
            <w:shd w:val="clear" w:color="auto" w:fill="auto"/>
            <w:vAlign w:val="top"/>
          </w:tcPr>
          <w:p w14:paraId="7496C641">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1. 重点区域：机场草坪、道边绿化带、绿植丛（叶蝉、飞虱、蝇类高发区）；2. 常规区域：机场道路两侧、空地、建筑周边缝隙；3. 禁止使用区域：积水区、景观水池、饮用水源周边及鸟类密集核心区</w:t>
            </w:r>
          </w:p>
        </w:tc>
      </w:tr>
      <w:tr w14:paraId="2A1B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shd w:val="clear" w:color="auto" w:fill="auto"/>
            <w:vAlign w:val="top"/>
          </w:tcPr>
          <w:p w14:paraId="727B5ABE">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5BF85632">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推荐用</w:t>
            </w:r>
            <w:r>
              <w:rPr>
                <w:rFonts w:hint="eastAsia" w:ascii="宋体" w:hAnsi="宋体"/>
                <w:color w:val="000000"/>
                <w:sz w:val="22"/>
                <w:szCs w:val="28"/>
                <w:lang w:val="en-US" w:eastAsia="zh-CN"/>
              </w:rPr>
              <w:t>量</w:t>
            </w:r>
          </w:p>
        </w:tc>
        <w:tc>
          <w:tcPr>
            <w:tcW w:w="11988" w:type="dxa"/>
            <w:shd w:val="clear" w:color="auto" w:fill="auto"/>
            <w:vAlign w:val="top"/>
          </w:tcPr>
          <w:p w14:paraId="3A0D773C">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1. 重点区域（虫害高发期）：每100㎡推荐用量80-100ml；2. 常规区域（日常防控）：每100㎡推荐用量50-60ml；3. 局部定点防控（蟑螂、蝇类聚集区）：每平方米推荐用量1-1.5ml</w:t>
            </w:r>
          </w:p>
        </w:tc>
      </w:tr>
      <w:tr w14:paraId="3E3C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shd w:val="clear" w:color="auto" w:fill="auto"/>
            <w:vAlign w:val="top"/>
          </w:tcPr>
          <w:p w14:paraId="61E88DBF">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1BC83BB6">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稀释倍数/配比</w:t>
            </w:r>
          </w:p>
        </w:tc>
        <w:tc>
          <w:tcPr>
            <w:tcW w:w="11988" w:type="dxa"/>
            <w:shd w:val="clear" w:color="auto" w:fill="auto"/>
            <w:vAlign w:val="top"/>
          </w:tcPr>
          <w:p w14:paraId="180AD9FB">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1. 单剂使用：兑水稀释1000-1500倍（常规防控用1200-1500倍，虫害高发期用1000-1200倍）；2. 复配使用：按对应复配比例稀释后，再整体兑水至规定倍数，严禁直接浓配</w:t>
            </w:r>
          </w:p>
        </w:tc>
      </w:tr>
      <w:tr w14:paraId="7D67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shd w:val="clear" w:color="auto" w:fill="auto"/>
            <w:vAlign w:val="top"/>
          </w:tcPr>
          <w:p w14:paraId="7687E14B">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5051C6EC">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科学复配方案</w:t>
            </w:r>
          </w:p>
        </w:tc>
        <w:tc>
          <w:tcPr>
            <w:tcW w:w="11988" w:type="dxa"/>
            <w:shd w:val="clear" w:color="auto" w:fill="auto"/>
            <w:vAlign w:val="top"/>
          </w:tcPr>
          <w:p w14:paraId="1A9C229F">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1. 复配1（针对叶蝉、飞虱爆发）：与吡虫啉（70%水分散粒剂）复配，复配比例为高效氯氰菊酯:吡虫啉=1:1，兑水稀释1200倍，混合顺序：先加清水，再加入吡虫啉搅拌溶解，最后加入高效氯氰菊酯，充分搅匀后现配现用；2. 复配2（针对夜蛾、螟蛾爆发）：与甲维盐（5.7%水分散粒剂）复配，复配比例为高效氯氰菊酯:甲维盐=2:1，兑水稀释1500倍，混合顺序同上，傍晚施用效果最佳；3. 复配后药液需在2小时内施用完毕，不可久置</w:t>
            </w:r>
          </w:p>
        </w:tc>
      </w:tr>
      <w:tr w14:paraId="0D8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shd w:val="clear" w:color="auto" w:fill="auto"/>
            <w:vAlign w:val="top"/>
          </w:tcPr>
          <w:p w14:paraId="5C1EBCF6">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0238D28B">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严禁复配</w:t>
            </w:r>
          </w:p>
        </w:tc>
        <w:tc>
          <w:tcPr>
            <w:tcW w:w="11988" w:type="dxa"/>
            <w:shd w:val="clear" w:color="auto" w:fill="auto"/>
            <w:vAlign w:val="top"/>
          </w:tcPr>
          <w:p w14:paraId="7C268A02">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1. 所有碱性药剂：如波尔多液、石硫合剂、氢氧化铜、松脂合剂等，遇碱会分解有效成分，导致药效丧失；2. 有机磷类农药：如敌敌畏、辛硫磷、毒死蜱等，复配后会降低防效，且可能产生药害；3. 邻氨基苯甲酸类驱鸟剂（含量≥45%）：剂型不相容，混配后易分层、掩盖驱鸟气味，同时降低杀虫效果；4. 碱性助剂：如洗衣粉、肥皂水等，会破坏药剂稳定性</w:t>
            </w:r>
          </w:p>
        </w:tc>
      </w:tr>
      <w:tr w14:paraId="09A6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shd w:val="clear" w:color="auto" w:fill="auto"/>
            <w:vAlign w:val="top"/>
          </w:tcPr>
          <w:p w14:paraId="0232D638">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49CA852F">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季节/爆发期用药建议</w:t>
            </w:r>
          </w:p>
        </w:tc>
        <w:tc>
          <w:tcPr>
            <w:tcW w:w="11988" w:type="dxa"/>
            <w:shd w:val="clear" w:color="auto" w:fill="auto"/>
            <w:vAlign w:val="top"/>
          </w:tcPr>
          <w:p w14:paraId="2CEE5BAB">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1. 惊蛰后（3-4月，虫害复苏期）：单剂兑水1500倍，每10天施药1次，重点喷洒绿植萌芽部位，预防叶蝉、飞虱初发；2. 夏季高发期（5-9月，珠海高温多雨）：优先采用复配方案，兑水1000-1200倍，每7-10天施药1次，避开正午高温（9:00前、17:00后施药），雨后24小时内补喷1次（减半浓度）；3. 秋季回落期（10-11月）：单剂兑水1200-1500倍，每15天施药1次，重点防控蝇类、残留叶蝉；4. 冬季休眠期（12-2月）：单剂兑水1500倍，每20-30天施药1次，仅针对温暖角落、建筑缝隙等虫害越冬区域，减少用量和频次；5. 虫口爆发期（叶蝉/飞虱密度≥5头/㎡）：采用复配1方案，缩短施药间隔至5-7天，维持稀释倍数不变，严禁提高浓度</w:t>
            </w:r>
          </w:p>
        </w:tc>
      </w:tr>
      <w:tr w14:paraId="3080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shd w:val="clear" w:color="auto" w:fill="auto"/>
            <w:vAlign w:val="top"/>
          </w:tcPr>
          <w:p w14:paraId="400E71DC">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46C92AC6">
            <w:pPr>
              <w:spacing w:beforeLines="0" w:afterLines="0"/>
              <w:jc w:val="center"/>
              <w:rPr>
                <w:rFonts w:hint="eastAsia" w:ascii="宋体" w:hAnsi="宋体" w:eastAsiaTheme="minorEastAsia" w:cstheme="minorBidi"/>
                <w:color w:val="000000"/>
                <w:kern w:val="2"/>
                <w:sz w:val="22"/>
                <w:szCs w:val="28"/>
                <w:lang w:val="en-US" w:eastAsia="zh-CN" w:bidi="ar-SA"/>
              </w:rPr>
            </w:pPr>
            <w:r>
              <w:rPr>
                <w:rFonts w:hint="eastAsia" w:ascii="宋体" w:hAnsi="宋体"/>
                <w:color w:val="000000"/>
                <w:sz w:val="22"/>
                <w:szCs w:val="28"/>
              </w:rPr>
              <w:t>施用要点</w:t>
            </w:r>
          </w:p>
        </w:tc>
        <w:tc>
          <w:tcPr>
            <w:tcW w:w="11988" w:type="dxa"/>
            <w:shd w:val="clear" w:color="auto" w:fill="auto"/>
            <w:vAlign w:val="top"/>
          </w:tcPr>
          <w:p w14:paraId="1DDA5287">
            <w:pPr>
              <w:spacing w:beforeLines="0" w:afterLines="0"/>
              <w:jc w:val="left"/>
              <w:rPr>
                <w:rFonts w:hint="eastAsia" w:ascii="仿宋" w:hAnsi="仿宋" w:eastAsia="仿宋" w:cstheme="minorBidi"/>
                <w:color w:val="000000"/>
                <w:kern w:val="2"/>
                <w:sz w:val="20"/>
                <w:szCs w:val="28"/>
                <w:lang w:val="en-US" w:eastAsia="zh-CN" w:bidi="ar-SA"/>
              </w:rPr>
            </w:pPr>
            <w:r>
              <w:rPr>
                <w:rFonts w:hint="eastAsia" w:ascii="仿宋" w:hAnsi="仿宋" w:eastAsia="仿宋"/>
                <w:color w:val="000000"/>
                <w:sz w:val="20"/>
                <w:szCs w:val="28"/>
              </w:rPr>
              <w:t>1. 施药方式：采用常量喷雾，确保药液均匀雾化，重点喷洒叶片正反面、绿植根部及道边死角、建筑缝隙，避免药液淤积；2. 施药时间：常规防控选上午9:00前、下午17:00后，夏季严禁正午施药，冬季选晴天中午施药；3. 安全间隔期：每次施药间隔不少于7天，每季最多施用6次；4. 器具要求：专用配药桶、喷药枪，严禁与驱鸟剂、碱性药剂共用器具；5. 环境要求：施药后6小时内避免降雨，大风（风力≥3级）天气暂停施药；6. 安全防护：施药人员佩戴口罩、手套，避免药液接触皮肤，施药后及时清洗器具和身体；7. 机场专项要求：施药时避开航班起降高峰及鸟类活动密集时段，避免药液喷洒至跑道、导航设备表面</w:t>
            </w:r>
          </w:p>
        </w:tc>
      </w:tr>
      <w:tr w14:paraId="1223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78928275">
            <w:pPr>
              <w:spacing w:beforeLines="0" w:afterLines="0"/>
              <w:jc w:val="left"/>
              <w:rPr>
                <w:rFonts w:hint="eastAsia" w:ascii="仿宋" w:hAnsi="仿宋" w:eastAsia="仿宋" w:cstheme="minorBidi"/>
                <w:color w:val="000000"/>
                <w:kern w:val="2"/>
                <w:sz w:val="24"/>
                <w:szCs w:val="28"/>
                <w:lang w:val="en-US" w:eastAsia="zh-CN" w:bidi="ar-SA"/>
              </w:rPr>
            </w:pPr>
            <w:r>
              <w:rPr>
                <w:rFonts w:hint="eastAsia" w:ascii="仿宋" w:hAnsi="仿宋" w:eastAsia="仿宋" w:cs="仿宋"/>
                <w:sz w:val="28"/>
                <w:szCs w:val="36"/>
                <w:lang w:val="en-US" w:eastAsia="zh-CN"/>
              </w:rPr>
              <w:t>2.</w:t>
            </w:r>
          </w:p>
        </w:tc>
        <w:tc>
          <w:tcPr>
            <w:tcW w:w="1250" w:type="dxa"/>
            <w:shd w:val="clear" w:color="auto" w:fill="auto"/>
            <w:vAlign w:val="top"/>
          </w:tcPr>
          <w:p w14:paraId="684DB323">
            <w:pPr>
              <w:spacing w:beforeLines="0" w:afterLines="0"/>
              <w:jc w:val="center"/>
              <w:rPr>
                <w:rFonts w:hint="eastAsia" w:ascii="宋体" w:hAnsi="宋体"/>
                <w:color w:val="000000"/>
                <w:sz w:val="22"/>
                <w:szCs w:val="28"/>
              </w:rPr>
            </w:pPr>
          </w:p>
        </w:tc>
        <w:tc>
          <w:tcPr>
            <w:tcW w:w="11988" w:type="dxa"/>
            <w:shd w:val="clear" w:color="auto" w:fill="auto"/>
            <w:vAlign w:val="top"/>
          </w:tcPr>
          <w:p w14:paraId="722AD924">
            <w:pPr>
              <w:spacing w:beforeLines="0" w:afterLines="0"/>
              <w:jc w:val="left"/>
              <w:rPr>
                <w:rFonts w:hint="eastAsia" w:ascii="仿宋" w:hAnsi="仿宋" w:eastAsia="仿宋"/>
                <w:color w:val="000000"/>
                <w:sz w:val="20"/>
                <w:szCs w:val="28"/>
              </w:rPr>
            </w:pPr>
          </w:p>
        </w:tc>
      </w:tr>
      <w:tr w14:paraId="0813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2CDB1E5D">
            <w:pPr>
              <w:spacing w:beforeLines="0" w:afterLines="0"/>
              <w:jc w:val="left"/>
              <w:rPr>
                <w:rFonts w:hint="eastAsia" w:ascii="仿宋" w:hAnsi="仿宋" w:eastAsia="仿宋" w:cstheme="minorBidi"/>
                <w:color w:val="000000"/>
                <w:kern w:val="2"/>
                <w:sz w:val="24"/>
                <w:szCs w:val="28"/>
                <w:lang w:val="en-US" w:eastAsia="zh-CN" w:bidi="ar-SA"/>
              </w:rPr>
            </w:pPr>
            <w:r>
              <w:rPr>
                <w:rFonts w:hint="eastAsia" w:ascii="仿宋" w:hAnsi="仿宋" w:eastAsia="仿宋" w:cstheme="minorBidi"/>
                <w:color w:val="000000"/>
                <w:kern w:val="2"/>
                <w:sz w:val="24"/>
                <w:szCs w:val="28"/>
                <w:lang w:val="en-US" w:eastAsia="zh-CN" w:bidi="ar-SA"/>
              </w:rPr>
              <w:t>3.</w:t>
            </w:r>
          </w:p>
        </w:tc>
        <w:tc>
          <w:tcPr>
            <w:tcW w:w="1250" w:type="dxa"/>
            <w:shd w:val="clear" w:color="auto" w:fill="auto"/>
            <w:vAlign w:val="top"/>
          </w:tcPr>
          <w:p w14:paraId="434DD3FC">
            <w:pPr>
              <w:spacing w:beforeLines="0" w:afterLines="0"/>
              <w:jc w:val="center"/>
              <w:rPr>
                <w:rFonts w:hint="eastAsia" w:ascii="宋体" w:hAnsi="宋体"/>
                <w:color w:val="000000"/>
                <w:sz w:val="22"/>
                <w:szCs w:val="28"/>
              </w:rPr>
            </w:pPr>
          </w:p>
        </w:tc>
        <w:tc>
          <w:tcPr>
            <w:tcW w:w="11988" w:type="dxa"/>
            <w:shd w:val="clear" w:color="auto" w:fill="auto"/>
            <w:vAlign w:val="top"/>
          </w:tcPr>
          <w:p w14:paraId="359DA2B6">
            <w:pPr>
              <w:spacing w:beforeLines="0" w:afterLines="0"/>
              <w:jc w:val="left"/>
              <w:rPr>
                <w:rFonts w:hint="eastAsia" w:ascii="仿宋" w:hAnsi="仿宋" w:eastAsia="仿宋"/>
                <w:color w:val="000000"/>
                <w:sz w:val="20"/>
                <w:szCs w:val="28"/>
              </w:rPr>
            </w:pPr>
          </w:p>
        </w:tc>
      </w:tr>
      <w:tr w14:paraId="3E23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29FD1894">
            <w:pPr>
              <w:spacing w:beforeLines="0" w:afterLines="0"/>
              <w:jc w:val="left"/>
              <w:rPr>
                <w:rFonts w:hint="default" w:ascii="仿宋" w:hAnsi="仿宋" w:eastAsia="仿宋" w:cstheme="minorBidi"/>
                <w:color w:val="000000"/>
                <w:kern w:val="2"/>
                <w:sz w:val="24"/>
                <w:szCs w:val="28"/>
                <w:lang w:val="en-US" w:eastAsia="zh-CN" w:bidi="ar-SA"/>
              </w:rPr>
            </w:pPr>
            <w:r>
              <w:rPr>
                <w:rFonts w:hint="eastAsia" w:ascii="仿宋" w:hAnsi="仿宋" w:eastAsia="仿宋" w:cstheme="minorBidi"/>
                <w:color w:val="000000"/>
                <w:kern w:val="2"/>
                <w:sz w:val="24"/>
                <w:szCs w:val="28"/>
                <w:lang w:val="en-US" w:eastAsia="zh-CN" w:bidi="ar-SA"/>
              </w:rPr>
              <w:t>......</w:t>
            </w:r>
          </w:p>
        </w:tc>
        <w:tc>
          <w:tcPr>
            <w:tcW w:w="1250" w:type="dxa"/>
            <w:shd w:val="clear" w:color="auto" w:fill="auto"/>
            <w:vAlign w:val="top"/>
          </w:tcPr>
          <w:p w14:paraId="1E6DFC81">
            <w:pPr>
              <w:spacing w:beforeLines="0" w:afterLines="0"/>
              <w:jc w:val="center"/>
              <w:rPr>
                <w:rFonts w:hint="eastAsia" w:ascii="宋体" w:hAnsi="宋体"/>
                <w:color w:val="000000"/>
                <w:sz w:val="22"/>
                <w:szCs w:val="28"/>
              </w:rPr>
            </w:pPr>
          </w:p>
        </w:tc>
        <w:tc>
          <w:tcPr>
            <w:tcW w:w="11988" w:type="dxa"/>
            <w:shd w:val="clear" w:color="auto" w:fill="auto"/>
            <w:vAlign w:val="top"/>
          </w:tcPr>
          <w:p w14:paraId="5D9B5E93">
            <w:pPr>
              <w:spacing w:beforeLines="0" w:afterLines="0"/>
              <w:jc w:val="left"/>
              <w:rPr>
                <w:rFonts w:hint="eastAsia" w:ascii="仿宋" w:hAnsi="仿宋" w:eastAsia="仿宋"/>
                <w:color w:val="000000"/>
                <w:sz w:val="20"/>
                <w:szCs w:val="28"/>
              </w:rPr>
            </w:pPr>
          </w:p>
        </w:tc>
      </w:tr>
      <w:tr w14:paraId="61B3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2BC5B972">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487FC521">
            <w:pPr>
              <w:spacing w:beforeLines="0" w:afterLines="0"/>
              <w:jc w:val="center"/>
              <w:rPr>
                <w:rFonts w:hint="eastAsia" w:ascii="宋体" w:hAnsi="宋体"/>
                <w:color w:val="000000"/>
                <w:sz w:val="22"/>
                <w:szCs w:val="28"/>
              </w:rPr>
            </w:pPr>
          </w:p>
        </w:tc>
        <w:tc>
          <w:tcPr>
            <w:tcW w:w="11988" w:type="dxa"/>
            <w:shd w:val="clear" w:color="auto" w:fill="auto"/>
            <w:vAlign w:val="top"/>
          </w:tcPr>
          <w:p w14:paraId="45199FAC">
            <w:pPr>
              <w:spacing w:beforeLines="0" w:afterLines="0"/>
              <w:jc w:val="left"/>
              <w:rPr>
                <w:rFonts w:hint="eastAsia" w:ascii="仿宋" w:hAnsi="仿宋" w:eastAsia="仿宋"/>
                <w:color w:val="000000"/>
                <w:sz w:val="20"/>
                <w:szCs w:val="28"/>
              </w:rPr>
            </w:pPr>
          </w:p>
        </w:tc>
      </w:tr>
      <w:tr w14:paraId="17BE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53CD2CB1">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5DFA3DA4">
            <w:pPr>
              <w:spacing w:beforeLines="0" w:afterLines="0"/>
              <w:jc w:val="center"/>
              <w:rPr>
                <w:rFonts w:hint="eastAsia" w:ascii="宋体" w:hAnsi="宋体"/>
                <w:color w:val="000000"/>
                <w:sz w:val="22"/>
                <w:szCs w:val="28"/>
              </w:rPr>
            </w:pPr>
          </w:p>
        </w:tc>
        <w:tc>
          <w:tcPr>
            <w:tcW w:w="11988" w:type="dxa"/>
            <w:shd w:val="clear" w:color="auto" w:fill="auto"/>
            <w:vAlign w:val="top"/>
          </w:tcPr>
          <w:p w14:paraId="279309E1">
            <w:pPr>
              <w:spacing w:beforeLines="0" w:afterLines="0"/>
              <w:jc w:val="left"/>
              <w:rPr>
                <w:rFonts w:hint="eastAsia" w:ascii="仿宋" w:hAnsi="仿宋" w:eastAsia="仿宋"/>
                <w:color w:val="000000"/>
                <w:sz w:val="20"/>
                <w:szCs w:val="28"/>
              </w:rPr>
            </w:pPr>
          </w:p>
        </w:tc>
      </w:tr>
      <w:tr w14:paraId="4FE8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78261547">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355FF722">
            <w:pPr>
              <w:spacing w:beforeLines="0" w:afterLines="0"/>
              <w:jc w:val="center"/>
              <w:rPr>
                <w:rFonts w:hint="eastAsia" w:ascii="宋体" w:hAnsi="宋体"/>
                <w:color w:val="000000"/>
                <w:sz w:val="22"/>
                <w:szCs w:val="28"/>
              </w:rPr>
            </w:pPr>
          </w:p>
        </w:tc>
        <w:tc>
          <w:tcPr>
            <w:tcW w:w="11988" w:type="dxa"/>
            <w:shd w:val="clear" w:color="auto" w:fill="auto"/>
            <w:vAlign w:val="top"/>
          </w:tcPr>
          <w:p w14:paraId="335B39EB">
            <w:pPr>
              <w:spacing w:beforeLines="0" w:afterLines="0"/>
              <w:jc w:val="left"/>
              <w:rPr>
                <w:rFonts w:hint="eastAsia" w:ascii="仿宋" w:hAnsi="仿宋" w:eastAsia="仿宋"/>
                <w:color w:val="000000"/>
                <w:sz w:val="20"/>
                <w:szCs w:val="28"/>
              </w:rPr>
            </w:pPr>
          </w:p>
        </w:tc>
      </w:tr>
      <w:tr w14:paraId="3D43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451F801B">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00F1D9C4">
            <w:pPr>
              <w:spacing w:beforeLines="0" w:afterLines="0"/>
              <w:jc w:val="center"/>
              <w:rPr>
                <w:rFonts w:hint="eastAsia" w:ascii="宋体" w:hAnsi="宋体"/>
                <w:color w:val="000000"/>
                <w:sz w:val="22"/>
                <w:szCs w:val="28"/>
              </w:rPr>
            </w:pPr>
          </w:p>
        </w:tc>
        <w:tc>
          <w:tcPr>
            <w:tcW w:w="11988" w:type="dxa"/>
            <w:shd w:val="clear" w:color="auto" w:fill="auto"/>
            <w:vAlign w:val="top"/>
          </w:tcPr>
          <w:p w14:paraId="2BFC025A">
            <w:pPr>
              <w:spacing w:beforeLines="0" w:afterLines="0"/>
              <w:jc w:val="left"/>
              <w:rPr>
                <w:rFonts w:hint="eastAsia" w:ascii="仿宋" w:hAnsi="仿宋" w:eastAsia="仿宋"/>
                <w:color w:val="000000"/>
                <w:sz w:val="20"/>
                <w:szCs w:val="28"/>
              </w:rPr>
            </w:pPr>
          </w:p>
        </w:tc>
      </w:tr>
      <w:tr w14:paraId="6F44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4F03ADF8">
            <w:pPr>
              <w:spacing w:beforeLines="0" w:afterLines="0"/>
              <w:jc w:val="left"/>
              <w:rPr>
                <w:rFonts w:hint="eastAsia" w:ascii="仿宋" w:hAnsi="仿宋" w:eastAsia="仿宋" w:cstheme="minorBidi"/>
                <w:color w:val="000000"/>
                <w:kern w:val="2"/>
                <w:sz w:val="24"/>
                <w:szCs w:val="28"/>
                <w:lang w:val="en-US" w:eastAsia="zh-CN" w:bidi="ar-SA"/>
              </w:rPr>
            </w:pPr>
          </w:p>
        </w:tc>
        <w:tc>
          <w:tcPr>
            <w:tcW w:w="1250" w:type="dxa"/>
            <w:shd w:val="clear" w:color="auto" w:fill="auto"/>
            <w:vAlign w:val="top"/>
          </w:tcPr>
          <w:p w14:paraId="1038CAD5">
            <w:pPr>
              <w:spacing w:beforeLines="0" w:afterLines="0"/>
              <w:jc w:val="center"/>
              <w:rPr>
                <w:rFonts w:hint="eastAsia" w:ascii="宋体" w:hAnsi="宋体"/>
                <w:color w:val="000000"/>
                <w:sz w:val="22"/>
                <w:szCs w:val="28"/>
              </w:rPr>
            </w:pPr>
          </w:p>
        </w:tc>
        <w:tc>
          <w:tcPr>
            <w:tcW w:w="11988" w:type="dxa"/>
            <w:shd w:val="clear" w:color="auto" w:fill="auto"/>
            <w:vAlign w:val="top"/>
          </w:tcPr>
          <w:p w14:paraId="38FF78C8">
            <w:pPr>
              <w:spacing w:beforeLines="0" w:afterLines="0"/>
              <w:jc w:val="left"/>
              <w:rPr>
                <w:rFonts w:hint="eastAsia" w:ascii="仿宋" w:hAnsi="仿宋" w:eastAsia="仿宋"/>
                <w:color w:val="000000"/>
                <w:sz w:val="20"/>
                <w:szCs w:val="28"/>
              </w:rPr>
            </w:pPr>
          </w:p>
        </w:tc>
      </w:tr>
      <w:tr w14:paraId="6088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top"/>
          </w:tcPr>
          <w:p w14:paraId="1C5960AA">
            <w:pPr>
              <w:spacing w:beforeLines="0" w:afterLines="0"/>
              <w:jc w:val="left"/>
              <w:rPr>
                <w:rFonts w:hint="default" w:ascii="仿宋" w:hAnsi="仿宋" w:eastAsia="仿宋" w:cstheme="minorBidi"/>
                <w:color w:val="000000"/>
                <w:kern w:val="2"/>
                <w:sz w:val="24"/>
                <w:szCs w:val="28"/>
                <w:lang w:val="en-US" w:eastAsia="zh-CN" w:bidi="ar-SA"/>
              </w:rPr>
            </w:pPr>
          </w:p>
        </w:tc>
        <w:tc>
          <w:tcPr>
            <w:tcW w:w="1250" w:type="dxa"/>
            <w:shd w:val="clear" w:color="auto" w:fill="auto"/>
            <w:vAlign w:val="top"/>
          </w:tcPr>
          <w:p w14:paraId="32128A07">
            <w:pPr>
              <w:spacing w:beforeLines="0" w:afterLines="0"/>
              <w:jc w:val="center"/>
              <w:rPr>
                <w:rFonts w:hint="eastAsia" w:ascii="宋体" w:hAnsi="宋体"/>
                <w:color w:val="000000"/>
                <w:sz w:val="22"/>
                <w:szCs w:val="28"/>
              </w:rPr>
            </w:pPr>
          </w:p>
        </w:tc>
        <w:tc>
          <w:tcPr>
            <w:tcW w:w="11988" w:type="dxa"/>
            <w:shd w:val="clear" w:color="auto" w:fill="auto"/>
            <w:vAlign w:val="top"/>
          </w:tcPr>
          <w:p w14:paraId="62FF86D6">
            <w:pPr>
              <w:spacing w:beforeLines="0" w:afterLines="0"/>
              <w:jc w:val="left"/>
              <w:rPr>
                <w:rFonts w:hint="eastAsia" w:ascii="仿宋" w:hAnsi="仿宋" w:eastAsia="仿宋"/>
                <w:color w:val="000000"/>
                <w:sz w:val="20"/>
                <w:szCs w:val="28"/>
              </w:rPr>
            </w:pPr>
          </w:p>
        </w:tc>
      </w:tr>
    </w:tbl>
    <w:p w14:paraId="196B44C4">
      <w:pPr>
        <w:ind w:firstLine="0" w:firstLineChars="0"/>
        <w:rPr>
          <w:rFonts w:hint="eastAsia" w:ascii="仿宋" w:hAnsi="仿宋" w:eastAsia="仿宋" w:cs="仿宋"/>
          <w:sz w:val="28"/>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20081"/>
    <w:multiLevelType w:val="singleLevel"/>
    <w:tmpl w:val="ED5200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38536B8"/>
    <w:rsid w:val="14D70624"/>
    <w:rsid w:val="202A4398"/>
    <w:rsid w:val="2B1F02C6"/>
    <w:rsid w:val="319C1FA9"/>
    <w:rsid w:val="33337F51"/>
    <w:rsid w:val="347575B6"/>
    <w:rsid w:val="34A80247"/>
    <w:rsid w:val="39B50A30"/>
    <w:rsid w:val="3FC60A80"/>
    <w:rsid w:val="3FF22CF9"/>
    <w:rsid w:val="41935B12"/>
    <w:rsid w:val="434C7DE9"/>
    <w:rsid w:val="4718206C"/>
    <w:rsid w:val="485C3363"/>
    <w:rsid w:val="523E6A26"/>
    <w:rsid w:val="5A982C68"/>
    <w:rsid w:val="5C7C5EFE"/>
    <w:rsid w:val="663012BB"/>
    <w:rsid w:val="67741D8F"/>
    <w:rsid w:val="6E3F3208"/>
    <w:rsid w:val="6EB56DCC"/>
    <w:rsid w:val="7C6D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outlineLvl w:val="2"/>
    </w:pPr>
    <w:rPr>
      <w:rFonts w:eastAsia="宋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1895</Words>
  <Characters>2039</Characters>
  <Lines>0</Lines>
  <Paragraphs>0</Paragraphs>
  <TotalTime>22</TotalTime>
  <ScaleCrop>false</ScaleCrop>
  <LinksUpToDate>false</LinksUpToDate>
  <CharactersWithSpaces>2054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2026-03-09T08:20:00Z</dcterms:created>
  <dc:creator>Hermione</dc:creator>
  <cp:lastModifiedBy>Hermione</cp:lastModifiedBy>
  <cp:lastPrinted>2026-04-21T08:29:00Z</cp:lastPrinted>
  <dcterms:modified xsi:type="dcterms:W3CDTF">2026-04-27T06:50:38Z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CF01A4E22F2A4701B0A132180F5F8D6E_13</vt:lpwstr>
  </property>
  <property fmtid="{D5CDD505-2E9C-101B-9397-08002B2CF9AE}" pid="4" name="KSOTemplateDocerSaveRecord">
    <vt:lpwstr>eyJoZGlkIjoiNzZjMTcxMjExMTQ0NmI3MTY3ZjAzMGFhZjMyMjA0ZGUiLCJ1c2VySWQiOiIxNTgzODg5MDkyIn0=</vt:lpwstr>
  </property>
</Properties>
</file>