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BC" w:rsidRPr="00B35BD3" w:rsidRDefault="00425097">
      <w:pPr>
        <w:widowControl/>
        <w:kinsoku w:val="0"/>
        <w:autoSpaceDE w:val="0"/>
        <w:autoSpaceDN w:val="0"/>
        <w:adjustRightInd w:val="0"/>
        <w:snapToGrid w:val="0"/>
        <w:spacing w:before="153" w:line="223" w:lineRule="auto"/>
        <w:jc w:val="left"/>
        <w:textAlignment w:val="baseline"/>
        <w:rPr>
          <w:rFonts w:ascii="宋体" w:hAnsi="宋体" w:cs="宋体"/>
          <w:snapToGrid w:val="0"/>
          <w:color w:val="000000" w:themeColor="text1"/>
          <w:spacing w:val="9"/>
          <w:kern w:val="0"/>
          <w:sz w:val="32"/>
          <w:szCs w:val="32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35BD3">
        <w:rPr>
          <w:rFonts w:ascii="宋体" w:hAnsi="宋体" w:cs="宋体" w:hint="eastAsia"/>
          <w:snapToGrid w:val="0"/>
          <w:color w:val="000000" w:themeColor="text1"/>
          <w:spacing w:val="9"/>
          <w:kern w:val="0"/>
          <w:sz w:val="32"/>
          <w:szCs w:val="32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</w:p>
    <w:p w:rsidR="00F23BBC" w:rsidRPr="00B35BD3" w:rsidRDefault="00425097">
      <w:pPr>
        <w:widowControl/>
        <w:kinsoku w:val="0"/>
        <w:autoSpaceDE w:val="0"/>
        <w:autoSpaceDN w:val="0"/>
        <w:adjustRightInd w:val="0"/>
        <w:snapToGrid w:val="0"/>
        <w:spacing w:before="153" w:line="223" w:lineRule="auto"/>
        <w:jc w:val="center"/>
        <w:textAlignment w:val="baseline"/>
        <w:rPr>
          <w:rFonts w:ascii="宋体" w:hAnsi="宋体" w:cs="宋体"/>
          <w:b/>
          <w:bCs/>
          <w:snapToGrid w:val="0"/>
          <w:color w:val="000000" w:themeColor="text1"/>
          <w:spacing w:val="9"/>
          <w:kern w:val="0"/>
          <w:sz w:val="32"/>
          <w:szCs w:val="32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35BD3">
        <w:rPr>
          <w:rFonts w:ascii="宋体" w:hAnsi="宋体" w:cs="宋体" w:hint="eastAsia"/>
          <w:b/>
          <w:bCs/>
          <w:snapToGrid w:val="0"/>
          <w:color w:val="000000" w:themeColor="text1"/>
          <w:spacing w:val="9"/>
          <w:kern w:val="0"/>
          <w:sz w:val="32"/>
          <w:szCs w:val="32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珠海机场2024年新媒体宣传合作需求</w:t>
      </w:r>
    </w:p>
    <w:p w:rsidR="00F23BBC" w:rsidRPr="00B35BD3" w:rsidRDefault="00F23BBC">
      <w:pPr>
        <w:pStyle w:val="ae"/>
        <w:ind w:firstLineChars="0" w:firstLine="0"/>
        <w:rPr>
          <w:rFonts w:asciiTheme="majorEastAsia" w:eastAsiaTheme="majorEastAsia" w:hAnsiTheme="majorEastAsia"/>
          <w:color w:val="000000" w:themeColor="text1"/>
        </w:rPr>
      </w:pPr>
    </w:p>
    <w:p w:rsidR="00F23BBC" w:rsidRPr="00B35BD3" w:rsidRDefault="00425097">
      <w:pPr>
        <w:spacing w:after="200"/>
        <w:ind w:right="561"/>
        <w:jc w:val="left"/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 w:rsidRPr="00B35BD3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以下为珠海机场2024年新媒体宣传合作需求明细:</w:t>
      </w:r>
    </w:p>
    <w:tbl>
      <w:tblPr>
        <w:tblW w:w="95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375"/>
        <w:gridCol w:w="4994"/>
        <w:gridCol w:w="850"/>
        <w:gridCol w:w="866"/>
      </w:tblGrid>
      <w:tr w:rsidR="00B35BD3" w:rsidRPr="00B35BD3">
        <w:trPr>
          <w:trHeight w:val="654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ADDAB1"/>
            <w:noWrap/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DDAB1"/>
            <w:noWrap/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4994" w:type="dxa"/>
            <w:tcBorders>
              <w:tl2br w:val="nil"/>
              <w:tr2bl w:val="nil"/>
            </w:tcBorders>
            <w:shd w:val="clear" w:color="auto" w:fill="ADDAB1"/>
            <w:noWrap/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服务内容及要求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DDAB1"/>
            <w:noWrap/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DDAB1"/>
            <w:noWrap/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单位</w:t>
            </w:r>
          </w:p>
        </w:tc>
      </w:tr>
      <w:tr w:rsidR="00B35BD3" w:rsidRPr="00B35BD3">
        <w:trPr>
          <w:trHeight w:val="1483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B35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新闻发布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spacing w:before="185" w:line="360" w:lineRule="exact"/>
              <w:jc w:val="center"/>
              <w:rPr>
                <w:rFonts w:ascii="宋体" w:hAnsi="宋体" w:cs="宋体"/>
                <w:color w:val="000000" w:themeColor="text1"/>
                <w:spacing w:val="-2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pacing w:val="-2"/>
                <w:position w:val="1"/>
                <w:szCs w:val="21"/>
              </w:rPr>
              <w:t>内容发布</w:t>
            </w:r>
          </w:p>
        </w:tc>
        <w:tc>
          <w:tcPr>
            <w:tcW w:w="4994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spacing w:beforeLines="50" w:before="156"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机场新闻通稿及公告新媒体平台发布，要求如下：</w:t>
            </w:r>
          </w:p>
          <w:p w:rsidR="00F23BBC" w:rsidRPr="00B35BD3" w:rsidRDefault="00425097">
            <w:pPr>
              <w:numPr>
                <w:ilvl w:val="0"/>
                <w:numId w:val="1"/>
              </w:numPr>
              <w:spacing w:beforeLines="50" w:before="156"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即时信息和公告新闻，1小时内响应</w:t>
            </w:r>
          </w:p>
          <w:p w:rsidR="00F23BBC" w:rsidRPr="00B35BD3" w:rsidRDefault="00425097">
            <w:pPr>
              <w:numPr>
                <w:ilvl w:val="0"/>
                <w:numId w:val="1"/>
              </w:numPr>
              <w:spacing w:beforeLines="50" w:before="156"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重要新闻，12小时内响应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（不限次数，按需发布）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次</w:t>
            </w:r>
          </w:p>
        </w:tc>
      </w:tr>
      <w:tr w:rsidR="00B35BD3" w:rsidRPr="00B35BD3">
        <w:trPr>
          <w:trHeight w:val="738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B35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数据分析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spacing w:before="185" w:line="360" w:lineRule="exact"/>
              <w:jc w:val="center"/>
              <w:rPr>
                <w:rFonts w:ascii="宋体" w:hAnsi="宋体" w:cs="宋体"/>
                <w:color w:val="000000" w:themeColor="text1"/>
                <w:spacing w:val="-2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pacing w:val="-2"/>
                <w:position w:val="1"/>
                <w:szCs w:val="21"/>
              </w:rPr>
              <w:t>2024年机场旅客人群数据分析</w:t>
            </w:r>
          </w:p>
        </w:tc>
        <w:tc>
          <w:tcPr>
            <w:tcW w:w="4994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spacing w:beforeLines="50" w:before="156" w:line="360" w:lineRule="exact"/>
              <w:rPr>
                <w:rFonts w:ascii="宋体" w:hAnsi="宋体" w:cs="宋体"/>
                <w:color w:val="000000" w:themeColor="text1"/>
                <w:spacing w:val="6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1、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私域用户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来源分析（产品，用户，内容）</w:t>
            </w:r>
          </w:p>
          <w:p w:rsidR="00F23BBC" w:rsidRPr="00B35BD3" w:rsidRDefault="00425097">
            <w:pPr>
              <w:spacing w:beforeLines="50" w:before="156" w:line="360" w:lineRule="exact"/>
              <w:rPr>
                <w:rFonts w:ascii="宋体" w:hAnsi="宋体" w:cs="宋体"/>
                <w:color w:val="000000" w:themeColor="text1"/>
                <w:spacing w:val="6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2、用户画像和IP打造</w:t>
            </w:r>
          </w:p>
          <w:p w:rsidR="00F23BBC" w:rsidRPr="00B35BD3" w:rsidRDefault="00425097">
            <w:pPr>
              <w:numPr>
                <w:ilvl w:val="0"/>
                <w:numId w:val="1"/>
              </w:numPr>
              <w:spacing w:beforeLines="50" w:before="156" w:line="360" w:lineRule="exact"/>
              <w:rPr>
                <w:rFonts w:ascii="宋体" w:hAnsi="宋体" w:cs="宋体"/>
                <w:color w:val="000000" w:themeColor="text1"/>
                <w:spacing w:val="6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数据体系</w:t>
            </w:r>
          </w:p>
          <w:p w:rsidR="00F23BBC" w:rsidRPr="00B35BD3" w:rsidRDefault="00425097">
            <w:pPr>
              <w:numPr>
                <w:ilvl w:val="0"/>
                <w:numId w:val="1"/>
              </w:numPr>
              <w:spacing w:beforeLines="50" w:before="156" w:line="360" w:lineRule="exact"/>
              <w:rPr>
                <w:rFonts w:ascii="宋体" w:hAnsi="宋体" w:cs="宋体"/>
                <w:color w:val="000000" w:themeColor="text1"/>
                <w:spacing w:val="6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精准引流</w:t>
            </w:r>
          </w:p>
          <w:p w:rsidR="00F23BBC" w:rsidRPr="00B35BD3" w:rsidRDefault="00425097">
            <w:pPr>
              <w:numPr>
                <w:ilvl w:val="0"/>
                <w:numId w:val="1"/>
              </w:numPr>
              <w:spacing w:beforeLines="50" w:before="156" w:line="360" w:lineRule="exact"/>
              <w:rPr>
                <w:rFonts w:ascii="宋体" w:hAnsi="宋体" w:cs="宋体"/>
                <w:color w:val="000000" w:themeColor="text1"/>
                <w:spacing w:val="6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用户标签</w:t>
            </w:r>
          </w:p>
          <w:p w:rsidR="00F23BBC" w:rsidRPr="00B35BD3" w:rsidRDefault="00425097">
            <w:pPr>
              <w:numPr>
                <w:ilvl w:val="0"/>
                <w:numId w:val="1"/>
              </w:numPr>
              <w:spacing w:beforeLines="50" w:before="156" w:line="360" w:lineRule="exact"/>
              <w:rPr>
                <w:rFonts w:ascii="宋体" w:hAnsi="宋体" w:cs="宋体"/>
                <w:color w:val="000000" w:themeColor="text1"/>
                <w:spacing w:val="6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内容运营建议（根据旅客来源分析来定位珠海机场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私域用户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运营方向：信任建设，社群，视频号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等私域运营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  <w:p w:rsidR="00F23BBC" w:rsidRPr="00B35BD3" w:rsidRDefault="00425097">
            <w:pPr>
              <w:numPr>
                <w:ilvl w:val="0"/>
                <w:numId w:val="1"/>
              </w:numPr>
              <w:spacing w:beforeLines="50" w:before="156" w:line="360" w:lineRule="exact"/>
              <w:rPr>
                <w:rFonts w:ascii="宋体" w:hAnsi="宋体" w:cs="宋体"/>
                <w:color w:val="000000" w:themeColor="text1"/>
                <w:spacing w:val="6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营销裂变</w:t>
            </w:r>
          </w:p>
          <w:p w:rsidR="00F23BBC" w:rsidRPr="00B35BD3" w:rsidRDefault="00425097">
            <w:pPr>
              <w:numPr>
                <w:ilvl w:val="0"/>
                <w:numId w:val="1"/>
              </w:numPr>
              <w:spacing w:beforeLines="50" w:before="156" w:line="360" w:lineRule="exact"/>
              <w:rPr>
                <w:rFonts w:ascii="宋体" w:hAnsi="宋体" w:cs="宋体"/>
                <w:color w:val="000000" w:themeColor="text1"/>
                <w:spacing w:val="6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用户裂变</w:t>
            </w:r>
          </w:p>
          <w:p w:rsidR="00F23BBC" w:rsidRPr="00B35BD3" w:rsidRDefault="00425097">
            <w:pPr>
              <w:numPr>
                <w:ilvl w:val="0"/>
                <w:numId w:val="1"/>
              </w:numPr>
              <w:spacing w:beforeLines="50" w:before="156" w:line="360" w:lineRule="exact"/>
              <w:rPr>
                <w:rFonts w:ascii="宋体" w:hAnsi="宋体" w:cs="宋体"/>
                <w:color w:val="000000" w:themeColor="text1"/>
                <w:spacing w:val="6"/>
                <w:position w:val="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数据分析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份</w:t>
            </w:r>
          </w:p>
        </w:tc>
      </w:tr>
      <w:tr w:rsidR="00B35BD3" w:rsidRPr="00B35BD3">
        <w:trPr>
          <w:trHeight w:val="1188"/>
          <w:jc w:val="center"/>
        </w:trPr>
        <w:tc>
          <w:tcPr>
            <w:tcW w:w="1474" w:type="dxa"/>
            <w:vMerge w:val="restart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B35BD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私域引流</w:t>
            </w:r>
            <w:proofErr w:type="gramEnd"/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spacing w:before="185"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pacing w:val="-2"/>
                <w:position w:val="1"/>
                <w:szCs w:val="21"/>
              </w:rPr>
              <w:t>视频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pacing w:val="-2"/>
                <w:position w:val="1"/>
                <w:szCs w:val="21"/>
              </w:rPr>
              <w:t>号推流</w:t>
            </w:r>
            <w:proofErr w:type="gramEnd"/>
          </w:p>
        </w:tc>
        <w:tc>
          <w:tcPr>
            <w:tcW w:w="4994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1、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视频推流数量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： 4条/月，48条&gt;=1 年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视频内容必须保持清晰、流畅，避免模糊、卡顿等问题。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视频的发布频率和数量需要保持稳定，以维持用户的持续关注。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视频内容需原创、独特，且符合平台的内容规范和要求。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2、观看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量推流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：  1000&gt;次/条  5万次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以上推流曝光量</w:t>
            </w:r>
            <w:proofErr w:type="gramEnd"/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视频的观看量是考核的重要指标之一，要求达到一定的基数并保持增长趋势。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观看量的增长趋势应与平台整体流量趋势相符合，避免出现异常波动。</w:t>
            </w:r>
          </w:p>
          <w:p w:rsidR="00F23BBC" w:rsidRPr="00B35BD3" w:rsidRDefault="00F23BBC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3、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涨粉数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 xml:space="preserve">： 2万粉/年  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视频内容应能吸引用户关注，实现粉丝数量的稳步增长。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粉丝增长的数量和质量将作为考核的重要依据。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4、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点赞及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 xml:space="preserve">收藏  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100个点赞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+100个收藏 / 条  9600次/年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视频数据（如收藏率、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点赞率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等）是衡量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推流效果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的关键指标。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要求实现较高的收藏率，且效果稳定、持续。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5、用户停留转发分享率   1000次/条    5万次分享率/年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用户观看视频的平均时长是衡量视频质量的重要指标之一，要求视频内容能吸引用户长时间停留。</w:t>
            </w:r>
          </w:p>
          <w:p w:rsidR="00F23BBC" w:rsidRPr="00B35BD3" w:rsidRDefault="00425097">
            <w:pPr>
              <w:pStyle w:val="a3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视频的互动率（如评论、点赞、分享等）也是重要的考核内容，要求视频能引起用户的积极互动。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48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次</w:t>
            </w:r>
          </w:p>
        </w:tc>
      </w:tr>
      <w:tr w:rsidR="00B35BD3" w:rsidRPr="00B35BD3">
        <w:trPr>
          <w:trHeight w:val="1767"/>
          <w:jc w:val="center"/>
        </w:trPr>
        <w:tc>
          <w:tcPr>
            <w:tcW w:w="1474" w:type="dxa"/>
            <w:vMerge/>
            <w:tcBorders>
              <w:tl2br w:val="nil"/>
              <w:tr2bl w:val="nil"/>
            </w:tcBorders>
            <w:vAlign w:val="center"/>
          </w:tcPr>
          <w:p w:rsidR="00F23BBC" w:rsidRPr="00B35BD3" w:rsidRDefault="00F23B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spacing w:before="185" w:line="360" w:lineRule="exact"/>
              <w:jc w:val="center"/>
              <w:rPr>
                <w:rFonts w:ascii="宋体" w:hAnsi="宋体" w:cs="宋体"/>
                <w:color w:val="000000" w:themeColor="text1"/>
                <w:spacing w:val="-2"/>
                <w:position w:val="1"/>
                <w:szCs w:val="21"/>
              </w:rPr>
            </w:pP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pacing w:val="-2"/>
                <w:position w:val="1"/>
                <w:szCs w:val="21"/>
              </w:rPr>
              <w:t>数字化私域运营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pacing w:val="-2"/>
                <w:position w:val="1"/>
                <w:szCs w:val="21"/>
              </w:rPr>
              <w:t>培训</w:t>
            </w:r>
          </w:p>
        </w:tc>
        <w:tc>
          <w:tcPr>
            <w:tcW w:w="4994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spacing w:beforeLines="50" w:before="156"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优秀案例分享，全国知名企业5年</w:t>
            </w:r>
            <w:proofErr w:type="gramStart"/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以上私域运营</w:t>
            </w:r>
            <w:proofErr w:type="gramEnd"/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培训服务，视频号运营培训、视频号营销助手解决方案、平台规则指南、短视频矩阵变现方案、违禁用词注意事项指引等。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:rsidR="00F23BBC" w:rsidRPr="00B35BD3" w:rsidRDefault="00425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35BD3">
              <w:rPr>
                <w:rFonts w:ascii="宋体" w:hAnsi="宋体" w:cs="宋体" w:hint="eastAsia"/>
                <w:color w:val="000000" w:themeColor="text1"/>
                <w:szCs w:val="21"/>
              </w:rPr>
              <w:t>次</w:t>
            </w:r>
          </w:p>
        </w:tc>
      </w:tr>
    </w:tbl>
    <w:p w:rsidR="00F23BBC" w:rsidRPr="00B35BD3" w:rsidRDefault="00425097">
      <w:pPr>
        <w:wordWrap w:val="0"/>
        <w:spacing w:after="200" w:line="360" w:lineRule="exact"/>
        <w:ind w:right="-56"/>
        <w:rPr>
          <w:rFonts w:asciiTheme="majorEastAsia" w:eastAsiaTheme="majorEastAsia" w:hAnsiTheme="majorEastAsia" w:cs="微软雅黑"/>
          <w:bCs/>
          <w:color w:val="000000" w:themeColor="text1"/>
          <w:sz w:val="28"/>
          <w:szCs w:val="28"/>
        </w:rPr>
      </w:pPr>
      <w:r w:rsidRPr="00B35BD3">
        <w:rPr>
          <w:rFonts w:asciiTheme="majorEastAsia" w:eastAsiaTheme="majorEastAsia" w:hAnsiTheme="majorEastAsia" w:cs="微软雅黑" w:hint="eastAsia"/>
          <w:bCs/>
          <w:color w:val="000000" w:themeColor="text1"/>
          <w:sz w:val="28"/>
          <w:szCs w:val="28"/>
        </w:rPr>
        <w:t xml:space="preserve">  </w:t>
      </w:r>
    </w:p>
    <w:p w:rsidR="00F23BBC" w:rsidRPr="00B35BD3" w:rsidRDefault="00425097">
      <w:pPr>
        <w:wordWrap w:val="0"/>
        <w:spacing w:after="200" w:line="360" w:lineRule="exact"/>
        <w:ind w:right="-56"/>
        <w:rPr>
          <w:rFonts w:asciiTheme="majorEastAsia" w:eastAsiaTheme="majorEastAsia" w:hAnsiTheme="majorEastAsia" w:cs="微软雅黑"/>
          <w:color w:val="000000" w:themeColor="text1"/>
          <w:sz w:val="28"/>
          <w:szCs w:val="28"/>
        </w:rPr>
      </w:pPr>
      <w:r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供应商要求：</w:t>
      </w:r>
    </w:p>
    <w:p w:rsidR="00F23BBC" w:rsidRPr="00B35BD3" w:rsidRDefault="00425097">
      <w:pPr>
        <w:wordWrap w:val="0"/>
        <w:spacing w:after="200" w:line="360" w:lineRule="exact"/>
        <w:ind w:right="-56"/>
        <w:rPr>
          <w:rFonts w:asciiTheme="majorEastAsia" w:eastAsiaTheme="majorEastAsia" w:hAnsiTheme="majorEastAsia" w:cs="微软雅黑"/>
          <w:color w:val="000000" w:themeColor="text1"/>
          <w:sz w:val="28"/>
          <w:szCs w:val="28"/>
        </w:rPr>
      </w:pPr>
      <w:r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一、资质要求：</w:t>
      </w:r>
    </w:p>
    <w:p w:rsidR="00565109" w:rsidRPr="00B35BD3" w:rsidRDefault="00425097" w:rsidP="00565109">
      <w:pPr>
        <w:wordWrap w:val="0"/>
        <w:spacing w:after="200" w:line="360" w:lineRule="exact"/>
        <w:ind w:right="-56" w:firstLineChars="200" w:firstLine="560"/>
        <w:rPr>
          <w:rFonts w:asciiTheme="majorEastAsia" w:eastAsiaTheme="majorEastAsia" w:hAnsiTheme="majorEastAsia" w:cs="微软雅黑"/>
          <w:color w:val="000000" w:themeColor="text1"/>
          <w:sz w:val="28"/>
          <w:szCs w:val="28"/>
        </w:rPr>
      </w:pPr>
      <w:r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供应商近三年内（自2022年1月1日至今，以合同签订时间为准</w:t>
      </w:r>
      <w:r w:rsidR="00565109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）与政府</w:t>
      </w:r>
      <w:proofErr w:type="gramStart"/>
      <w:r w:rsidR="00565109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或央企或</w:t>
      </w:r>
      <w:proofErr w:type="gramEnd"/>
      <w:r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国企或上市公司有过</w:t>
      </w:r>
      <w:r w:rsidR="00565109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以下任意一项新媒体宣传合作的相关经验，提供合同复印件并加盖公章。</w:t>
      </w:r>
    </w:p>
    <w:p w:rsidR="00565109" w:rsidRPr="00B35BD3" w:rsidRDefault="00565109" w:rsidP="00597D29">
      <w:pPr>
        <w:wordWrap w:val="0"/>
        <w:spacing w:after="200" w:line="360" w:lineRule="exact"/>
        <w:ind w:right="-56" w:firstLineChars="100" w:firstLine="280"/>
        <w:rPr>
          <w:rFonts w:asciiTheme="majorEastAsia" w:eastAsiaTheme="majorEastAsia" w:hAnsiTheme="majorEastAsia" w:cs="微软雅黑"/>
          <w:color w:val="000000" w:themeColor="text1"/>
          <w:sz w:val="28"/>
          <w:szCs w:val="28"/>
        </w:rPr>
      </w:pPr>
      <w:bookmarkStart w:id="0" w:name="_GoBack"/>
      <w:r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a.</w:t>
      </w:r>
      <w:r w:rsidR="00425097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推广类(</w:t>
      </w:r>
      <w:r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如</w:t>
      </w:r>
      <w:r w:rsidR="00425097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广告发布、</w:t>
      </w:r>
      <w:r w:rsidR="00B35BD3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信息平台发布、</w:t>
      </w:r>
      <w:proofErr w:type="gramStart"/>
      <w:r w:rsidR="009E320F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软文推广</w:t>
      </w:r>
      <w:proofErr w:type="gramEnd"/>
      <w:r w:rsidR="009E320F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、</w:t>
      </w:r>
      <w:r w:rsidR="00B35BD3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网络推广</w:t>
      </w:r>
      <w:r w:rsidR="00425097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)</w:t>
      </w:r>
    </w:p>
    <w:p w:rsidR="00565109" w:rsidRPr="00B35BD3" w:rsidRDefault="00565109" w:rsidP="00597D29">
      <w:pPr>
        <w:wordWrap w:val="0"/>
        <w:spacing w:after="200" w:line="360" w:lineRule="exact"/>
        <w:ind w:right="-56" w:firstLineChars="100" w:firstLine="280"/>
        <w:rPr>
          <w:rFonts w:asciiTheme="majorEastAsia" w:eastAsiaTheme="majorEastAsia" w:hAnsiTheme="majorEastAsia" w:cs="微软雅黑"/>
          <w:color w:val="000000" w:themeColor="text1"/>
          <w:sz w:val="28"/>
          <w:szCs w:val="28"/>
        </w:rPr>
      </w:pPr>
      <w:r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b.信息化（如</w:t>
      </w:r>
      <w:r w:rsidR="00294766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网络信息服务</w:t>
      </w:r>
      <w:r w:rsidR="00425097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、位置大数据</w:t>
      </w:r>
      <w:r w:rsidR="00294766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信息服务</w:t>
      </w:r>
      <w:r w:rsidR="00425097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、投放/</w:t>
      </w:r>
      <w:proofErr w:type="gramStart"/>
      <w:r w:rsidR="00425097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推流服务</w:t>
      </w:r>
      <w:proofErr w:type="gramEnd"/>
      <w:r w:rsidR="00425097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）</w:t>
      </w:r>
    </w:p>
    <w:p w:rsidR="00F23BBC" w:rsidRPr="00B35BD3" w:rsidRDefault="00565109" w:rsidP="00597D29">
      <w:pPr>
        <w:wordWrap w:val="0"/>
        <w:spacing w:after="200" w:line="360" w:lineRule="exact"/>
        <w:ind w:right="-56" w:firstLineChars="100" w:firstLine="280"/>
        <w:rPr>
          <w:rFonts w:asciiTheme="majorEastAsia" w:eastAsiaTheme="majorEastAsia" w:hAnsiTheme="majorEastAsia" w:cs="微软雅黑"/>
          <w:color w:val="000000" w:themeColor="text1"/>
          <w:sz w:val="28"/>
          <w:szCs w:val="28"/>
        </w:rPr>
      </w:pPr>
      <w:r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c.运营类（如</w:t>
      </w:r>
      <w:r w:rsidR="00954E15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视频号直播运营、</w:t>
      </w:r>
      <w:proofErr w:type="gramStart"/>
      <w:r w:rsidR="00425097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私域运营</w:t>
      </w:r>
      <w:proofErr w:type="gramEnd"/>
      <w:r w:rsidR="00425097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）</w:t>
      </w:r>
      <w:r w:rsidR="009E320F" w:rsidRPr="00B35BD3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 xml:space="preserve"> </w:t>
      </w:r>
    </w:p>
    <w:bookmarkEnd w:id="0"/>
    <w:p w:rsidR="00F23BBC" w:rsidRPr="00B35BD3" w:rsidRDefault="00425097">
      <w:pPr>
        <w:spacing w:after="200" w:line="360" w:lineRule="exact"/>
        <w:ind w:right="-56"/>
        <w:jc w:val="left"/>
        <w:rPr>
          <w:rFonts w:asciiTheme="majorEastAsia" w:eastAsiaTheme="majorEastAsia" w:hAnsiTheme="majorEastAsia" w:cs="微软雅黑"/>
          <w:bCs/>
          <w:color w:val="000000" w:themeColor="text1"/>
          <w:sz w:val="28"/>
          <w:szCs w:val="28"/>
        </w:rPr>
      </w:pPr>
      <w:r w:rsidRPr="00B35BD3">
        <w:rPr>
          <w:rFonts w:asciiTheme="majorEastAsia" w:eastAsiaTheme="majorEastAsia" w:hAnsiTheme="majorEastAsia" w:cs="微软雅黑" w:hint="eastAsia"/>
          <w:bCs/>
          <w:color w:val="000000" w:themeColor="text1"/>
          <w:sz w:val="28"/>
          <w:szCs w:val="28"/>
        </w:rPr>
        <w:t>二、团队要求：(中选后提供)</w:t>
      </w:r>
    </w:p>
    <w:p w:rsidR="00F23BBC" w:rsidRPr="00B35BD3" w:rsidRDefault="00425097">
      <w:pPr>
        <w:spacing w:after="200" w:line="360" w:lineRule="exact"/>
        <w:ind w:right="-56"/>
        <w:jc w:val="left"/>
        <w:rPr>
          <w:rFonts w:asciiTheme="majorEastAsia" w:eastAsiaTheme="majorEastAsia" w:hAnsiTheme="majorEastAsia" w:cs="微软雅黑"/>
          <w:bCs/>
          <w:color w:val="000000" w:themeColor="text1"/>
          <w:sz w:val="28"/>
          <w:szCs w:val="28"/>
        </w:rPr>
      </w:pPr>
      <w:r w:rsidRPr="00B35BD3">
        <w:rPr>
          <w:rFonts w:asciiTheme="majorEastAsia" w:eastAsiaTheme="majorEastAsia" w:hAnsiTheme="majorEastAsia" w:cs="微软雅黑" w:hint="eastAsia"/>
          <w:bCs/>
          <w:color w:val="000000" w:themeColor="text1"/>
          <w:sz w:val="28"/>
          <w:szCs w:val="28"/>
        </w:rPr>
        <w:t>1.配备专题服务小组（三人以上），</w:t>
      </w:r>
      <w:proofErr w:type="gramStart"/>
      <w:r w:rsidRPr="00B35BD3">
        <w:rPr>
          <w:rFonts w:asciiTheme="majorEastAsia" w:eastAsiaTheme="majorEastAsia" w:hAnsiTheme="majorEastAsia" w:cs="微软雅黑" w:hint="eastAsia"/>
          <w:bCs/>
          <w:color w:val="000000" w:themeColor="text1"/>
          <w:sz w:val="28"/>
          <w:szCs w:val="28"/>
        </w:rPr>
        <w:t>包含推流执行</w:t>
      </w:r>
      <w:proofErr w:type="gramEnd"/>
      <w:r w:rsidRPr="00B35BD3">
        <w:rPr>
          <w:rFonts w:asciiTheme="majorEastAsia" w:eastAsiaTheme="majorEastAsia" w:hAnsiTheme="majorEastAsia" w:cs="微软雅黑" w:hint="eastAsia"/>
          <w:bCs/>
          <w:color w:val="000000" w:themeColor="text1"/>
          <w:sz w:val="28"/>
          <w:szCs w:val="28"/>
        </w:rPr>
        <w:t>、技术支持、培训指导等。（相关培训资质证书）</w:t>
      </w:r>
    </w:p>
    <w:p w:rsidR="00F23BBC" w:rsidRPr="00B35BD3" w:rsidRDefault="00425097">
      <w:pPr>
        <w:spacing w:after="200" w:line="360" w:lineRule="exact"/>
        <w:ind w:right="-56"/>
        <w:jc w:val="left"/>
        <w:rPr>
          <w:rFonts w:asciiTheme="majorEastAsia" w:eastAsiaTheme="majorEastAsia" w:hAnsiTheme="majorEastAsia" w:cs="微软雅黑"/>
          <w:bCs/>
          <w:color w:val="000000" w:themeColor="text1"/>
          <w:sz w:val="28"/>
          <w:szCs w:val="28"/>
        </w:rPr>
      </w:pPr>
      <w:r w:rsidRPr="00B35BD3">
        <w:rPr>
          <w:rFonts w:asciiTheme="majorEastAsia" w:eastAsiaTheme="majorEastAsia" w:hAnsiTheme="majorEastAsia" w:cs="微软雅黑" w:hint="eastAsia"/>
          <w:bCs/>
          <w:color w:val="000000" w:themeColor="text1"/>
          <w:sz w:val="28"/>
          <w:szCs w:val="28"/>
        </w:rPr>
        <w:t>2.团队成员须具备产品运营执行课程能力，该成员须具备数字营销运营培训证书或结业证书。</w:t>
      </w:r>
    </w:p>
    <w:sectPr w:rsidR="00F23BBC" w:rsidRPr="00B35BD3">
      <w:footerReference w:type="default" r:id="rId9"/>
      <w:pgSz w:w="11906" w:h="16838"/>
      <w:pgMar w:top="1134" w:right="1361" w:bottom="1134" w:left="1361" w:header="56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88" w:rsidRDefault="00FA2A88">
      <w:r>
        <w:separator/>
      </w:r>
    </w:p>
  </w:endnote>
  <w:endnote w:type="continuationSeparator" w:id="0">
    <w:p w:rsidR="00FA2A88" w:rsidRDefault="00FA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BC" w:rsidRDefault="00425097">
    <w:pPr>
      <w:pStyle w:val="a7"/>
      <w:spacing w:line="360" w:lineRule="auto"/>
      <w:jc w:val="center"/>
      <w:rPr>
        <w:rFonts w:asciiTheme="minorEastAsia" w:hAnsiTheme="minorEastAsia" w:cstheme="minorEastAsia"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3BBC" w:rsidRDefault="00425097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19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6D1940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3BBC" w:rsidRDefault="00425097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19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6D1940">
                        <w:rPr>
                          <w:noProof/>
                        </w:rPr>
                        <w:t>2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88" w:rsidRDefault="00FA2A88">
      <w:r>
        <w:separator/>
      </w:r>
    </w:p>
  </w:footnote>
  <w:footnote w:type="continuationSeparator" w:id="0">
    <w:p w:rsidR="00FA2A88" w:rsidRDefault="00FA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A08C"/>
    <w:multiLevelType w:val="singleLevel"/>
    <w:tmpl w:val="1DB1A08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jFiNjU4ZDEyYmQ4NWRmY2Q4YTcyOGY4YjM0ODgifQ=="/>
  </w:docVars>
  <w:rsids>
    <w:rsidRoot w:val="00F018BC"/>
    <w:rsid w:val="00001B20"/>
    <w:rsid w:val="000054AB"/>
    <w:rsid w:val="00011401"/>
    <w:rsid w:val="00025E52"/>
    <w:rsid w:val="00027A4A"/>
    <w:rsid w:val="000312A2"/>
    <w:rsid w:val="00033AA7"/>
    <w:rsid w:val="00033E00"/>
    <w:rsid w:val="00043FF9"/>
    <w:rsid w:val="0004789E"/>
    <w:rsid w:val="00061EF0"/>
    <w:rsid w:val="00063299"/>
    <w:rsid w:val="00067655"/>
    <w:rsid w:val="00072359"/>
    <w:rsid w:val="00072EF7"/>
    <w:rsid w:val="0009075B"/>
    <w:rsid w:val="00092C27"/>
    <w:rsid w:val="000A410B"/>
    <w:rsid w:val="000B4E41"/>
    <w:rsid w:val="000B61C4"/>
    <w:rsid w:val="000C2AEA"/>
    <w:rsid w:val="000D4F27"/>
    <w:rsid w:val="000D5A3B"/>
    <w:rsid w:val="000D620F"/>
    <w:rsid w:val="000E0233"/>
    <w:rsid w:val="000E5E84"/>
    <w:rsid w:val="000E6607"/>
    <w:rsid w:val="000E76FF"/>
    <w:rsid w:val="000F006D"/>
    <w:rsid w:val="001003D3"/>
    <w:rsid w:val="001014D6"/>
    <w:rsid w:val="001058FE"/>
    <w:rsid w:val="0013537A"/>
    <w:rsid w:val="001478EA"/>
    <w:rsid w:val="00147C41"/>
    <w:rsid w:val="00153E28"/>
    <w:rsid w:val="0016722E"/>
    <w:rsid w:val="001704D2"/>
    <w:rsid w:val="001725EF"/>
    <w:rsid w:val="001763B0"/>
    <w:rsid w:val="00177B7D"/>
    <w:rsid w:val="001848D5"/>
    <w:rsid w:val="00185555"/>
    <w:rsid w:val="001A0BEF"/>
    <w:rsid w:val="001A3BD9"/>
    <w:rsid w:val="001A7AF2"/>
    <w:rsid w:val="001B0C20"/>
    <w:rsid w:val="001B44E3"/>
    <w:rsid w:val="001B5BBF"/>
    <w:rsid w:val="001C4665"/>
    <w:rsid w:val="001C4E02"/>
    <w:rsid w:val="001F1778"/>
    <w:rsid w:val="00215453"/>
    <w:rsid w:val="0022203A"/>
    <w:rsid w:val="0022269E"/>
    <w:rsid w:val="0022767D"/>
    <w:rsid w:val="00230B63"/>
    <w:rsid w:val="00231F0F"/>
    <w:rsid w:val="00233336"/>
    <w:rsid w:val="00233D87"/>
    <w:rsid w:val="00242696"/>
    <w:rsid w:val="00245358"/>
    <w:rsid w:val="00256271"/>
    <w:rsid w:val="00264B27"/>
    <w:rsid w:val="00277CB7"/>
    <w:rsid w:val="00282F36"/>
    <w:rsid w:val="0029397C"/>
    <w:rsid w:val="00294766"/>
    <w:rsid w:val="002B3892"/>
    <w:rsid w:val="002B6339"/>
    <w:rsid w:val="002C2B87"/>
    <w:rsid w:val="002C4D6B"/>
    <w:rsid w:val="002D7C1E"/>
    <w:rsid w:val="002E21F1"/>
    <w:rsid w:val="002F0328"/>
    <w:rsid w:val="002F5283"/>
    <w:rsid w:val="00315397"/>
    <w:rsid w:val="0033094C"/>
    <w:rsid w:val="00337D0A"/>
    <w:rsid w:val="003403A0"/>
    <w:rsid w:val="00345EC3"/>
    <w:rsid w:val="00350BFC"/>
    <w:rsid w:val="0035434A"/>
    <w:rsid w:val="00362A45"/>
    <w:rsid w:val="003776DE"/>
    <w:rsid w:val="00377B2E"/>
    <w:rsid w:val="0038103D"/>
    <w:rsid w:val="003B14FC"/>
    <w:rsid w:val="003B372F"/>
    <w:rsid w:val="003D770C"/>
    <w:rsid w:val="004043C0"/>
    <w:rsid w:val="004050E1"/>
    <w:rsid w:val="004069BB"/>
    <w:rsid w:val="00410188"/>
    <w:rsid w:val="004106C5"/>
    <w:rsid w:val="00425097"/>
    <w:rsid w:val="00443786"/>
    <w:rsid w:val="004667BF"/>
    <w:rsid w:val="00466AB0"/>
    <w:rsid w:val="004718B4"/>
    <w:rsid w:val="00485E18"/>
    <w:rsid w:val="00491062"/>
    <w:rsid w:val="004B50F8"/>
    <w:rsid w:val="004C0D2E"/>
    <w:rsid w:val="004C1546"/>
    <w:rsid w:val="004F2707"/>
    <w:rsid w:val="0050472F"/>
    <w:rsid w:val="0050591A"/>
    <w:rsid w:val="005102F9"/>
    <w:rsid w:val="00511603"/>
    <w:rsid w:val="005242F0"/>
    <w:rsid w:val="005259C1"/>
    <w:rsid w:val="00526A4A"/>
    <w:rsid w:val="00552720"/>
    <w:rsid w:val="00553860"/>
    <w:rsid w:val="005616D1"/>
    <w:rsid w:val="00565109"/>
    <w:rsid w:val="00571D49"/>
    <w:rsid w:val="00572D6B"/>
    <w:rsid w:val="005767C4"/>
    <w:rsid w:val="00583C01"/>
    <w:rsid w:val="005904C7"/>
    <w:rsid w:val="00595B7C"/>
    <w:rsid w:val="00597D29"/>
    <w:rsid w:val="005C2D2E"/>
    <w:rsid w:val="005C7042"/>
    <w:rsid w:val="005E2A36"/>
    <w:rsid w:val="005F49B9"/>
    <w:rsid w:val="005F6C2F"/>
    <w:rsid w:val="00603A45"/>
    <w:rsid w:val="00605BA2"/>
    <w:rsid w:val="00607BF3"/>
    <w:rsid w:val="00647066"/>
    <w:rsid w:val="00683FEA"/>
    <w:rsid w:val="00684D76"/>
    <w:rsid w:val="00691E0D"/>
    <w:rsid w:val="006937F7"/>
    <w:rsid w:val="006959D4"/>
    <w:rsid w:val="006A0791"/>
    <w:rsid w:val="006A2049"/>
    <w:rsid w:val="006A4706"/>
    <w:rsid w:val="006A7087"/>
    <w:rsid w:val="006C0F17"/>
    <w:rsid w:val="006D0763"/>
    <w:rsid w:val="006D1940"/>
    <w:rsid w:val="006D72A9"/>
    <w:rsid w:val="006E4472"/>
    <w:rsid w:val="006F5886"/>
    <w:rsid w:val="00703787"/>
    <w:rsid w:val="00722780"/>
    <w:rsid w:val="00731D16"/>
    <w:rsid w:val="00734ABF"/>
    <w:rsid w:val="00753F1B"/>
    <w:rsid w:val="00763BBF"/>
    <w:rsid w:val="00790C68"/>
    <w:rsid w:val="00797E65"/>
    <w:rsid w:val="007A21DC"/>
    <w:rsid w:val="007B7923"/>
    <w:rsid w:val="007B7AE5"/>
    <w:rsid w:val="007E22A1"/>
    <w:rsid w:val="007F409D"/>
    <w:rsid w:val="00801788"/>
    <w:rsid w:val="00810015"/>
    <w:rsid w:val="00825165"/>
    <w:rsid w:val="008309E0"/>
    <w:rsid w:val="00842348"/>
    <w:rsid w:val="0085658F"/>
    <w:rsid w:val="00884A07"/>
    <w:rsid w:val="00887469"/>
    <w:rsid w:val="008A034F"/>
    <w:rsid w:val="008A398F"/>
    <w:rsid w:val="008C5894"/>
    <w:rsid w:val="008D0FED"/>
    <w:rsid w:val="008E2993"/>
    <w:rsid w:val="008E732A"/>
    <w:rsid w:val="00912A5C"/>
    <w:rsid w:val="00920F4C"/>
    <w:rsid w:val="00923E8D"/>
    <w:rsid w:val="009314D6"/>
    <w:rsid w:val="009314D7"/>
    <w:rsid w:val="009414E9"/>
    <w:rsid w:val="00944134"/>
    <w:rsid w:val="00951EC1"/>
    <w:rsid w:val="00952261"/>
    <w:rsid w:val="00954E15"/>
    <w:rsid w:val="0097035C"/>
    <w:rsid w:val="00971551"/>
    <w:rsid w:val="00981C77"/>
    <w:rsid w:val="00992A4E"/>
    <w:rsid w:val="00996420"/>
    <w:rsid w:val="009A163F"/>
    <w:rsid w:val="009A4721"/>
    <w:rsid w:val="009A6909"/>
    <w:rsid w:val="009B6480"/>
    <w:rsid w:val="009B762F"/>
    <w:rsid w:val="009B7C66"/>
    <w:rsid w:val="009C6857"/>
    <w:rsid w:val="009E320F"/>
    <w:rsid w:val="009F2DCC"/>
    <w:rsid w:val="009F6F77"/>
    <w:rsid w:val="00A075F3"/>
    <w:rsid w:val="00A16AB2"/>
    <w:rsid w:val="00A32120"/>
    <w:rsid w:val="00A36BC5"/>
    <w:rsid w:val="00A409DE"/>
    <w:rsid w:val="00A45C1D"/>
    <w:rsid w:val="00A473AB"/>
    <w:rsid w:val="00A5509C"/>
    <w:rsid w:val="00A9718E"/>
    <w:rsid w:val="00AB3835"/>
    <w:rsid w:val="00AB5B5D"/>
    <w:rsid w:val="00AC4B36"/>
    <w:rsid w:val="00AD5549"/>
    <w:rsid w:val="00AD558A"/>
    <w:rsid w:val="00AD5BCC"/>
    <w:rsid w:val="00AE1DC0"/>
    <w:rsid w:val="00B11B58"/>
    <w:rsid w:val="00B11E30"/>
    <w:rsid w:val="00B14422"/>
    <w:rsid w:val="00B3185B"/>
    <w:rsid w:val="00B32212"/>
    <w:rsid w:val="00B32F22"/>
    <w:rsid w:val="00B33600"/>
    <w:rsid w:val="00B34B33"/>
    <w:rsid w:val="00B35BD3"/>
    <w:rsid w:val="00B3778C"/>
    <w:rsid w:val="00B73A49"/>
    <w:rsid w:val="00B81276"/>
    <w:rsid w:val="00B85E1F"/>
    <w:rsid w:val="00B92498"/>
    <w:rsid w:val="00B92684"/>
    <w:rsid w:val="00BA31F1"/>
    <w:rsid w:val="00BB2302"/>
    <w:rsid w:val="00BC0852"/>
    <w:rsid w:val="00BC0CF1"/>
    <w:rsid w:val="00BC7E1C"/>
    <w:rsid w:val="00BD1350"/>
    <w:rsid w:val="00BD473A"/>
    <w:rsid w:val="00BF550A"/>
    <w:rsid w:val="00C01911"/>
    <w:rsid w:val="00C071F7"/>
    <w:rsid w:val="00C210DC"/>
    <w:rsid w:val="00C23045"/>
    <w:rsid w:val="00C232FF"/>
    <w:rsid w:val="00C24921"/>
    <w:rsid w:val="00C415B3"/>
    <w:rsid w:val="00C4643E"/>
    <w:rsid w:val="00C51747"/>
    <w:rsid w:val="00C554D1"/>
    <w:rsid w:val="00C5645C"/>
    <w:rsid w:val="00C669A9"/>
    <w:rsid w:val="00CD060F"/>
    <w:rsid w:val="00CD31BC"/>
    <w:rsid w:val="00CD3913"/>
    <w:rsid w:val="00CD5456"/>
    <w:rsid w:val="00D1165C"/>
    <w:rsid w:val="00D20505"/>
    <w:rsid w:val="00D20AD5"/>
    <w:rsid w:val="00D42938"/>
    <w:rsid w:val="00D43F80"/>
    <w:rsid w:val="00D516AD"/>
    <w:rsid w:val="00D54CD1"/>
    <w:rsid w:val="00D54E3D"/>
    <w:rsid w:val="00D55B51"/>
    <w:rsid w:val="00D652D8"/>
    <w:rsid w:val="00D66B9C"/>
    <w:rsid w:val="00D6792D"/>
    <w:rsid w:val="00D72DDC"/>
    <w:rsid w:val="00D750A6"/>
    <w:rsid w:val="00D8572B"/>
    <w:rsid w:val="00D93993"/>
    <w:rsid w:val="00DA0CDB"/>
    <w:rsid w:val="00DA15FB"/>
    <w:rsid w:val="00DC61F1"/>
    <w:rsid w:val="00DD1530"/>
    <w:rsid w:val="00DD3B72"/>
    <w:rsid w:val="00DE13D7"/>
    <w:rsid w:val="00DE3C8F"/>
    <w:rsid w:val="00E02270"/>
    <w:rsid w:val="00E03D41"/>
    <w:rsid w:val="00E251DC"/>
    <w:rsid w:val="00E25C6D"/>
    <w:rsid w:val="00E3201C"/>
    <w:rsid w:val="00E361F6"/>
    <w:rsid w:val="00E4132C"/>
    <w:rsid w:val="00E448D4"/>
    <w:rsid w:val="00E44A9C"/>
    <w:rsid w:val="00E56AF3"/>
    <w:rsid w:val="00E5795C"/>
    <w:rsid w:val="00E740CA"/>
    <w:rsid w:val="00E8126F"/>
    <w:rsid w:val="00E97670"/>
    <w:rsid w:val="00EC384D"/>
    <w:rsid w:val="00ED056F"/>
    <w:rsid w:val="00EE0934"/>
    <w:rsid w:val="00EE3A95"/>
    <w:rsid w:val="00EE64C8"/>
    <w:rsid w:val="00EF2938"/>
    <w:rsid w:val="00F01860"/>
    <w:rsid w:val="00F018BC"/>
    <w:rsid w:val="00F03F5E"/>
    <w:rsid w:val="00F23BBC"/>
    <w:rsid w:val="00F23E14"/>
    <w:rsid w:val="00F26A18"/>
    <w:rsid w:val="00F273BC"/>
    <w:rsid w:val="00F27523"/>
    <w:rsid w:val="00F30776"/>
    <w:rsid w:val="00F42210"/>
    <w:rsid w:val="00F462F5"/>
    <w:rsid w:val="00F463F0"/>
    <w:rsid w:val="00F4647D"/>
    <w:rsid w:val="00F4691E"/>
    <w:rsid w:val="00F55049"/>
    <w:rsid w:val="00F5705E"/>
    <w:rsid w:val="00F67AA2"/>
    <w:rsid w:val="00F70014"/>
    <w:rsid w:val="00F71746"/>
    <w:rsid w:val="00F74B82"/>
    <w:rsid w:val="00F8385D"/>
    <w:rsid w:val="00F87A8E"/>
    <w:rsid w:val="00F905B4"/>
    <w:rsid w:val="00F93BB4"/>
    <w:rsid w:val="00FA2A88"/>
    <w:rsid w:val="00FA5117"/>
    <w:rsid w:val="00FB60E9"/>
    <w:rsid w:val="00FC671E"/>
    <w:rsid w:val="00FD53B7"/>
    <w:rsid w:val="00FD7363"/>
    <w:rsid w:val="00FE4F90"/>
    <w:rsid w:val="00FE51A6"/>
    <w:rsid w:val="00FF3058"/>
    <w:rsid w:val="017A0804"/>
    <w:rsid w:val="017E4639"/>
    <w:rsid w:val="01922F90"/>
    <w:rsid w:val="02155FE7"/>
    <w:rsid w:val="021F2A0C"/>
    <w:rsid w:val="02A5220C"/>
    <w:rsid w:val="02C31095"/>
    <w:rsid w:val="02C979E6"/>
    <w:rsid w:val="02CE0BE8"/>
    <w:rsid w:val="03190CB5"/>
    <w:rsid w:val="0334363C"/>
    <w:rsid w:val="0396764F"/>
    <w:rsid w:val="03A52FB7"/>
    <w:rsid w:val="03C63149"/>
    <w:rsid w:val="041F679F"/>
    <w:rsid w:val="04237628"/>
    <w:rsid w:val="04475814"/>
    <w:rsid w:val="044B36AE"/>
    <w:rsid w:val="046901F7"/>
    <w:rsid w:val="046D1CBD"/>
    <w:rsid w:val="04E65A45"/>
    <w:rsid w:val="04F847F5"/>
    <w:rsid w:val="050168F0"/>
    <w:rsid w:val="05257331"/>
    <w:rsid w:val="058C6BB5"/>
    <w:rsid w:val="05CE19E6"/>
    <w:rsid w:val="063469D3"/>
    <w:rsid w:val="06824DC3"/>
    <w:rsid w:val="068A3713"/>
    <w:rsid w:val="06917202"/>
    <w:rsid w:val="06CC1999"/>
    <w:rsid w:val="076201D1"/>
    <w:rsid w:val="07656420"/>
    <w:rsid w:val="077C7A64"/>
    <w:rsid w:val="07E67BD7"/>
    <w:rsid w:val="083957AE"/>
    <w:rsid w:val="08584EFF"/>
    <w:rsid w:val="08AB70D8"/>
    <w:rsid w:val="08E92EA7"/>
    <w:rsid w:val="090C23A7"/>
    <w:rsid w:val="09363475"/>
    <w:rsid w:val="09B7072D"/>
    <w:rsid w:val="0A0B7D3A"/>
    <w:rsid w:val="0A71360F"/>
    <w:rsid w:val="0AA33B40"/>
    <w:rsid w:val="0ADE17C8"/>
    <w:rsid w:val="0AE466AA"/>
    <w:rsid w:val="0AFF69E2"/>
    <w:rsid w:val="0B170A22"/>
    <w:rsid w:val="0BAB0918"/>
    <w:rsid w:val="0BC02988"/>
    <w:rsid w:val="0BC97738"/>
    <w:rsid w:val="0CD724F9"/>
    <w:rsid w:val="0CDE0823"/>
    <w:rsid w:val="0D377107"/>
    <w:rsid w:val="0D980066"/>
    <w:rsid w:val="0DF74F1C"/>
    <w:rsid w:val="0E1F491B"/>
    <w:rsid w:val="0F16079E"/>
    <w:rsid w:val="0F4C1A3E"/>
    <w:rsid w:val="0F531105"/>
    <w:rsid w:val="0F974531"/>
    <w:rsid w:val="0FDA2383"/>
    <w:rsid w:val="10131D65"/>
    <w:rsid w:val="10754E02"/>
    <w:rsid w:val="108310D1"/>
    <w:rsid w:val="10B01798"/>
    <w:rsid w:val="10DD578E"/>
    <w:rsid w:val="1111061C"/>
    <w:rsid w:val="1127055C"/>
    <w:rsid w:val="1155768C"/>
    <w:rsid w:val="11CB7280"/>
    <w:rsid w:val="12901F00"/>
    <w:rsid w:val="12F977FA"/>
    <w:rsid w:val="12FC182F"/>
    <w:rsid w:val="132A360D"/>
    <w:rsid w:val="13440A0D"/>
    <w:rsid w:val="135C3866"/>
    <w:rsid w:val="13940D56"/>
    <w:rsid w:val="14F960D9"/>
    <w:rsid w:val="15087048"/>
    <w:rsid w:val="152604BE"/>
    <w:rsid w:val="156E60D3"/>
    <w:rsid w:val="15A94E30"/>
    <w:rsid w:val="15BC5565"/>
    <w:rsid w:val="15F60D31"/>
    <w:rsid w:val="164F74F3"/>
    <w:rsid w:val="1687573D"/>
    <w:rsid w:val="16D161DC"/>
    <w:rsid w:val="1701159D"/>
    <w:rsid w:val="170A0279"/>
    <w:rsid w:val="17641D15"/>
    <w:rsid w:val="176D1177"/>
    <w:rsid w:val="17742C5A"/>
    <w:rsid w:val="17800EAB"/>
    <w:rsid w:val="17996410"/>
    <w:rsid w:val="17A44347"/>
    <w:rsid w:val="17D43185"/>
    <w:rsid w:val="182966BC"/>
    <w:rsid w:val="184534A3"/>
    <w:rsid w:val="18540E51"/>
    <w:rsid w:val="185D5E34"/>
    <w:rsid w:val="187F02B2"/>
    <w:rsid w:val="18A846D2"/>
    <w:rsid w:val="18AA5303"/>
    <w:rsid w:val="18B6426E"/>
    <w:rsid w:val="18E33D33"/>
    <w:rsid w:val="1906639F"/>
    <w:rsid w:val="190A6052"/>
    <w:rsid w:val="19631990"/>
    <w:rsid w:val="196602A0"/>
    <w:rsid w:val="1990114D"/>
    <w:rsid w:val="1A0A0EFF"/>
    <w:rsid w:val="1A0A0F04"/>
    <w:rsid w:val="1A155C39"/>
    <w:rsid w:val="1A316B3C"/>
    <w:rsid w:val="1A4068C7"/>
    <w:rsid w:val="1A9B56B1"/>
    <w:rsid w:val="1B1D74F4"/>
    <w:rsid w:val="1BD12320"/>
    <w:rsid w:val="1C2960B2"/>
    <w:rsid w:val="1C3861F8"/>
    <w:rsid w:val="1C597F1C"/>
    <w:rsid w:val="1C6E5776"/>
    <w:rsid w:val="1C8B1ACC"/>
    <w:rsid w:val="1CB8239E"/>
    <w:rsid w:val="1CD75548"/>
    <w:rsid w:val="1D1B2998"/>
    <w:rsid w:val="1DC37A19"/>
    <w:rsid w:val="1DD11AC9"/>
    <w:rsid w:val="1DD8200D"/>
    <w:rsid w:val="1E0D1127"/>
    <w:rsid w:val="1E746116"/>
    <w:rsid w:val="1E7B4DFC"/>
    <w:rsid w:val="1E804090"/>
    <w:rsid w:val="1E90231B"/>
    <w:rsid w:val="1F35675B"/>
    <w:rsid w:val="1F613FCB"/>
    <w:rsid w:val="1F891F4D"/>
    <w:rsid w:val="200E6DB1"/>
    <w:rsid w:val="201D680D"/>
    <w:rsid w:val="2059498F"/>
    <w:rsid w:val="206327BF"/>
    <w:rsid w:val="20766694"/>
    <w:rsid w:val="209E5942"/>
    <w:rsid w:val="20AA3F8A"/>
    <w:rsid w:val="20CB3DC6"/>
    <w:rsid w:val="212F7BC7"/>
    <w:rsid w:val="217C1859"/>
    <w:rsid w:val="227B674B"/>
    <w:rsid w:val="22E24C29"/>
    <w:rsid w:val="231102E1"/>
    <w:rsid w:val="231D693A"/>
    <w:rsid w:val="237F5B08"/>
    <w:rsid w:val="23867849"/>
    <w:rsid w:val="23A65346"/>
    <w:rsid w:val="23B81D4A"/>
    <w:rsid w:val="23FF27EC"/>
    <w:rsid w:val="241800BF"/>
    <w:rsid w:val="24A773CD"/>
    <w:rsid w:val="24C232D2"/>
    <w:rsid w:val="25250C4E"/>
    <w:rsid w:val="255B2200"/>
    <w:rsid w:val="2604539D"/>
    <w:rsid w:val="26155688"/>
    <w:rsid w:val="264B2A8A"/>
    <w:rsid w:val="264B3EA2"/>
    <w:rsid w:val="265A4FBD"/>
    <w:rsid w:val="267C5E90"/>
    <w:rsid w:val="26BA7876"/>
    <w:rsid w:val="26C72A4E"/>
    <w:rsid w:val="271709AA"/>
    <w:rsid w:val="271A5522"/>
    <w:rsid w:val="271F68C8"/>
    <w:rsid w:val="27484B7F"/>
    <w:rsid w:val="275748A8"/>
    <w:rsid w:val="275D08FE"/>
    <w:rsid w:val="27716F3F"/>
    <w:rsid w:val="27B13735"/>
    <w:rsid w:val="285A2E8A"/>
    <w:rsid w:val="28754330"/>
    <w:rsid w:val="288746E8"/>
    <w:rsid w:val="28932C71"/>
    <w:rsid w:val="28990B09"/>
    <w:rsid w:val="28CA07D6"/>
    <w:rsid w:val="28DE064F"/>
    <w:rsid w:val="293463E3"/>
    <w:rsid w:val="29422464"/>
    <w:rsid w:val="29472AC9"/>
    <w:rsid w:val="29625FEA"/>
    <w:rsid w:val="29743325"/>
    <w:rsid w:val="29954C89"/>
    <w:rsid w:val="29B114CF"/>
    <w:rsid w:val="2A204BC0"/>
    <w:rsid w:val="2A753EDE"/>
    <w:rsid w:val="2AA80342"/>
    <w:rsid w:val="2ABE26B4"/>
    <w:rsid w:val="2AC450FA"/>
    <w:rsid w:val="2AF82165"/>
    <w:rsid w:val="2BAC38E2"/>
    <w:rsid w:val="2BDB44F0"/>
    <w:rsid w:val="2C075F5A"/>
    <w:rsid w:val="2C474AE2"/>
    <w:rsid w:val="2CD674A0"/>
    <w:rsid w:val="2CE16603"/>
    <w:rsid w:val="2D104627"/>
    <w:rsid w:val="2D533F3F"/>
    <w:rsid w:val="2D8038B5"/>
    <w:rsid w:val="2DB152F1"/>
    <w:rsid w:val="2E4343B3"/>
    <w:rsid w:val="2E5442F5"/>
    <w:rsid w:val="2E77652D"/>
    <w:rsid w:val="2EB723FC"/>
    <w:rsid w:val="2EE47B19"/>
    <w:rsid w:val="2F7140B8"/>
    <w:rsid w:val="2FB90FA6"/>
    <w:rsid w:val="30406FD1"/>
    <w:rsid w:val="30645C8D"/>
    <w:rsid w:val="306F50CF"/>
    <w:rsid w:val="30861850"/>
    <w:rsid w:val="30A3026D"/>
    <w:rsid w:val="30C452AD"/>
    <w:rsid w:val="30C45B19"/>
    <w:rsid w:val="30D632BE"/>
    <w:rsid w:val="318243AB"/>
    <w:rsid w:val="3192495A"/>
    <w:rsid w:val="3196064A"/>
    <w:rsid w:val="31E866CA"/>
    <w:rsid w:val="322640A2"/>
    <w:rsid w:val="323E5F09"/>
    <w:rsid w:val="3241362E"/>
    <w:rsid w:val="32655415"/>
    <w:rsid w:val="32AF7BE4"/>
    <w:rsid w:val="32ED7BAE"/>
    <w:rsid w:val="335F3C12"/>
    <w:rsid w:val="33FD7BDF"/>
    <w:rsid w:val="342753E4"/>
    <w:rsid w:val="343155AF"/>
    <w:rsid w:val="34367D70"/>
    <w:rsid w:val="34A73B72"/>
    <w:rsid w:val="34A75677"/>
    <w:rsid w:val="34E63DD9"/>
    <w:rsid w:val="3565112A"/>
    <w:rsid w:val="35A3113F"/>
    <w:rsid w:val="35A54EE6"/>
    <w:rsid w:val="35AA79A0"/>
    <w:rsid w:val="35E52AF5"/>
    <w:rsid w:val="36575738"/>
    <w:rsid w:val="3663133A"/>
    <w:rsid w:val="36787138"/>
    <w:rsid w:val="36CD0EB7"/>
    <w:rsid w:val="380D3297"/>
    <w:rsid w:val="38B14F10"/>
    <w:rsid w:val="38C44830"/>
    <w:rsid w:val="39225E0E"/>
    <w:rsid w:val="39274D44"/>
    <w:rsid w:val="39715C7B"/>
    <w:rsid w:val="39AA58F8"/>
    <w:rsid w:val="39B02B8A"/>
    <w:rsid w:val="3A445E76"/>
    <w:rsid w:val="3A5416E9"/>
    <w:rsid w:val="3A704957"/>
    <w:rsid w:val="3A991B74"/>
    <w:rsid w:val="3B0213B2"/>
    <w:rsid w:val="3B0C4F2C"/>
    <w:rsid w:val="3B47486C"/>
    <w:rsid w:val="3BA40D5C"/>
    <w:rsid w:val="3BA83708"/>
    <w:rsid w:val="3BCA71F1"/>
    <w:rsid w:val="3C0E19D6"/>
    <w:rsid w:val="3C17603A"/>
    <w:rsid w:val="3C1F35D9"/>
    <w:rsid w:val="3C830972"/>
    <w:rsid w:val="3C914999"/>
    <w:rsid w:val="3C956A09"/>
    <w:rsid w:val="3CA2012A"/>
    <w:rsid w:val="3D573DB6"/>
    <w:rsid w:val="3D7568F3"/>
    <w:rsid w:val="3DD35929"/>
    <w:rsid w:val="3E2522FE"/>
    <w:rsid w:val="3E2C0A70"/>
    <w:rsid w:val="3E8310FD"/>
    <w:rsid w:val="3E9806EC"/>
    <w:rsid w:val="3EB90617"/>
    <w:rsid w:val="3F4173BB"/>
    <w:rsid w:val="3FDC59DC"/>
    <w:rsid w:val="4144632F"/>
    <w:rsid w:val="41564F7C"/>
    <w:rsid w:val="415A2CB1"/>
    <w:rsid w:val="415A690E"/>
    <w:rsid w:val="41695CBB"/>
    <w:rsid w:val="418E0CA6"/>
    <w:rsid w:val="41A44C5C"/>
    <w:rsid w:val="41E2145C"/>
    <w:rsid w:val="41E435B4"/>
    <w:rsid w:val="423D5A66"/>
    <w:rsid w:val="42D27A38"/>
    <w:rsid w:val="4387757C"/>
    <w:rsid w:val="438F40A0"/>
    <w:rsid w:val="44556C5E"/>
    <w:rsid w:val="44DD5A6D"/>
    <w:rsid w:val="456C2437"/>
    <w:rsid w:val="45876549"/>
    <w:rsid w:val="45B66F06"/>
    <w:rsid w:val="462C6009"/>
    <w:rsid w:val="465B0730"/>
    <w:rsid w:val="46845A12"/>
    <w:rsid w:val="46E54919"/>
    <w:rsid w:val="46E923F5"/>
    <w:rsid w:val="47D93113"/>
    <w:rsid w:val="47DE2387"/>
    <w:rsid w:val="47E56AC2"/>
    <w:rsid w:val="480D5C3D"/>
    <w:rsid w:val="48C66D9A"/>
    <w:rsid w:val="48EB7E1E"/>
    <w:rsid w:val="492E7AA0"/>
    <w:rsid w:val="49C07C8F"/>
    <w:rsid w:val="4A6F21D0"/>
    <w:rsid w:val="4A741900"/>
    <w:rsid w:val="4B925925"/>
    <w:rsid w:val="4B99684D"/>
    <w:rsid w:val="4C1B7C9A"/>
    <w:rsid w:val="4C330C4B"/>
    <w:rsid w:val="4C42131A"/>
    <w:rsid w:val="4C611387"/>
    <w:rsid w:val="4CC06F30"/>
    <w:rsid w:val="4D0F3304"/>
    <w:rsid w:val="4D11124B"/>
    <w:rsid w:val="4D810EFD"/>
    <w:rsid w:val="4D900AF8"/>
    <w:rsid w:val="4E1A232E"/>
    <w:rsid w:val="4E376235"/>
    <w:rsid w:val="4E706B5C"/>
    <w:rsid w:val="4EFE5C43"/>
    <w:rsid w:val="4F1D07B2"/>
    <w:rsid w:val="4F547D13"/>
    <w:rsid w:val="4F5E277F"/>
    <w:rsid w:val="4FB16D0B"/>
    <w:rsid w:val="4FFE5D74"/>
    <w:rsid w:val="500C587F"/>
    <w:rsid w:val="502912D8"/>
    <w:rsid w:val="502E7B58"/>
    <w:rsid w:val="50B6511F"/>
    <w:rsid w:val="50C0670A"/>
    <w:rsid w:val="50EE01D4"/>
    <w:rsid w:val="50F6750C"/>
    <w:rsid w:val="50FD702E"/>
    <w:rsid w:val="512F6E2E"/>
    <w:rsid w:val="51541E7A"/>
    <w:rsid w:val="51B55619"/>
    <w:rsid w:val="51BA5135"/>
    <w:rsid w:val="52376116"/>
    <w:rsid w:val="52465DD6"/>
    <w:rsid w:val="52876D66"/>
    <w:rsid w:val="52A61C93"/>
    <w:rsid w:val="52E37F64"/>
    <w:rsid w:val="533D7674"/>
    <w:rsid w:val="539C1D87"/>
    <w:rsid w:val="53D275C9"/>
    <w:rsid w:val="53D31D87"/>
    <w:rsid w:val="53DA4410"/>
    <w:rsid w:val="540A2390"/>
    <w:rsid w:val="54126968"/>
    <w:rsid w:val="54264975"/>
    <w:rsid w:val="547B4C3E"/>
    <w:rsid w:val="548D2129"/>
    <w:rsid w:val="5517745D"/>
    <w:rsid w:val="5530200E"/>
    <w:rsid w:val="55386F12"/>
    <w:rsid w:val="556C3E3B"/>
    <w:rsid w:val="55852222"/>
    <w:rsid w:val="55E46B75"/>
    <w:rsid w:val="55EA2356"/>
    <w:rsid w:val="55FC3A4A"/>
    <w:rsid w:val="561B6346"/>
    <w:rsid w:val="562A7F10"/>
    <w:rsid w:val="567D26EB"/>
    <w:rsid w:val="56831A32"/>
    <w:rsid w:val="57054CD6"/>
    <w:rsid w:val="571572C6"/>
    <w:rsid w:val="57285F30"/>
    <w:rsid w:val="5742467C"/>
    <w:rsid w:val="57947124"/>
    <w:rsid w:val="57993DC1"/>
    <w:rsid w:val="57B64767"/>
    <w:rsid w:val="583F79EB"/>
    <w:rsid w:val="5886571D"/>
    <w:rsid w:val="588B7CC6"/>
    <w:rsid w:val="590E6812"/>
    <w:rsid w:val="5A3F68FC"/>
    <w:rsid w:val="5A673229"/>
    <w:rsid w:val="5A970083"/>
    <w:rsid w:val="5AA27B7D"/>
    <w:rsid w:val="5AB45EFC"/>
    <w:rsid w:val="5AD823A2"/>
    <w:rsid w:val="5B996734"/>
    <w:rsid w:val="5BD1446F"/>
    <w:rsid w:val="5C014B89"/>
    <w:rsid w:val="5C2361BB"/>
    <w:rsid w:val="5C3B496D"/>
    <w:rsid w:val="5C4A510F"/>
    <w:rsid w:val="5CD1659B"/>
    <w:rsid w:val="5CE214B3"/>
    <w:rsid w:val="5D010C01"/>
    <w:rsid w:val="5D1A6BFC"/>
    <w:rsid w:val="5D74269E"/>
    <w:rsid w:val="5DD17694"/>
    <w:rsid w:val="5E8A3B61"/>
    <w:rsid w:val="5ECA5FA6"/>
    <w:rsid w:val="5ECB3BB8"/>
    <w:rsid w:val="5ED45531"/>
    <w:rsid w:val="5ED55137"/>
    <w:rsid w:val="5EF77271"/>
    <w:rsid w:val="5F071D35"/>
    <w:rsid w:val="5FC66BDB"/>
    <w:rsid w:val="5FCC7BB3"/>
    <w:rsid w:val="603A1480"/>
    <w:rsid w:val="60B06CE3"/>
    <w:rsid w:val="6127754E"/>
    <w:rsid w:val="62260C17"/>
    <w:rsid w:val="622B22A7"/>
    <w:rsid w:val="62683FE2"/>
    <w:rsid w:val="62C94AB4"/>
    <w:rsid w:val="62D358FF"/>
    <w:rsid w:val="62D6174E"/>
    <w:rsid w:val="62E5782C"/>
    <w:rsid w:val="62FF23C5"/>
    <w:rsid w:val="633E40B5"/>
    <w:rsid w:val="63771164"/>
    <w:rsid w:val="638C6274"/>
    <w:rsid w:val="63946BF8"/>
    <w:rsid w:val="63B73992"/>
    <w:rsid w:val="63C42918"/>
    <w:rsid w:val="63C44700"/>
    <w:rsid w:val="654544CF"/>
    <w:rsid w:val="655A472F"/>
    <w:rsid w:val="657958ED"/>
    <w:rsid w:val="66172AEE"/>
    <w:rsid w:val="66442BE3"/>
    <w:rsid w:val="669C425A"/>
    <w:rsid w:val="669F113E"/>
    <w:rsid w:val="66A61542"/>
    <w:rsid w:val="67134F9B"/>
    <w:rsid w:val="671A2558"/>
    <w:rsid w:val="67A75222"/>
    <w:rsid w:val="681F7C7F"/>
    <w:rsid w:val="69BB0168"/>
    <w:rsid w:val="69DB26F3"/>
    <w:rsid w:val="69DE32F7"/>
    <w:rsid w:val="69EA3460"/>
    <w:rsid w:val="69F8769B"/>
    <w:rsid w:val="6AAF5B7C"/>
    <w:rsid w:val="6ABD6E1D"/>
    <w:rsid w:val="6B524DC2"/>
    <w:rsid w:val="6B7E6624"/>
    <w:rsid w:val="6BAB54A6"/>
    <w:rsid w:val="6C296590"/>
    <w:rsid w:val="6C7937D5"/>
    <w:rsid w:val="6CDD1874"/>
    <w:rsid w:val="6D154D66"/>
    <w:rsid w:val="6D180CBA"/>
    <w:rsid w:val="6D1A20ED"/>
    <w:rsid w:val="6DBF2C3A"/>
    <w:rsid w:val="6DEE7A91"/>
    <w:rsid w:val="6E351BA8"/>
    <w:rsid w:val="6E523795"/>
    <w:rsid w:val="6E5F6BA9"/>
    <w:rsid w:val="6E7C68EB"/>
    <w:rsid w:val="6E8E2D3C"/>
    <w:rsid w:val="6E9A5523"/>
    <w:rsid w:val="6EC7120B"/>
    <w:rsid w:val="6F1F19C7"/>
    <w:rsid w:val="6F2D33E4"/>
    <w:rsid w:val="6F320B4F"/>
    <w:rsid w:val="6F39394B"/>
    <w:rsid w:val="6F666969"/>
    <w:rsid w:val="6F684141"/>
    <w:rsid w:val="6F742218"/>
    <w:rsid w:val="702E5AE4"/>
    <w:rsid w:val="70CC53D1"/>
    <w:rsid w:val="7161484E"/>
    <w:rsid w:val="71993493"/>
    <w:rsid w:val="71D40D4C"/>
    <w:rsid w:val="720505D0"/>
    <w:rsid w:val="720D425E"/>
    <w:rsid w:val="725B321B"/>
    <w:rsid w:val="72907888"/>
    <w:rsid w:val="729B2AFB"/>
    <w:rsid w:val="72AB36F4"/>
    <w:rsid w:val="72F56066"/>
    <w:rsid w:val="73313B5F"/>
    <w:rsid w:val="73D6524F"/>
    <w:rsid w:val="73F05BE5"/>
    <w:rsid w:val="747E1864"/>
    <w:rsid w:val="749211F8"/>
    <w:rsid w:val="74A97CEE"/>
    <w:rsid w:val="755248C3"/>
    <w:rsid w:val="757C5341"/>
    <w:rsid w:val="75C15656"/>
    <w:rsid w:val="76726FF6"/>
    <w:rsid w:val="771B2ADA"/>
    <w:rsid w:val="77217DF1"/>
    <w:rsid w:val="77344F88"/>
    <w:rsid w:val="773E652B"/>
    <w:rsid w:val="774C407E"/>
    <w:rsid w:val="778252E5"/>
    <w:rsid w:val="77AD53F9"/>
    <w:rsid w:val="77B04D32"/>
    <w:rsid w:val="785534EF"/>
    <w:rsid w:val="78750E58"/>
    <w:rsid w:val="7879264D"/>
    <w:rsid w:val="78A245A1"/>
    <w:rsid w:val="78A43B6E"/>
    <w:rsid w:val="78C728EA"/>
    <w:rsid w:val="78EF47C5"/>
    <w:rsid w:val="795E61BD"/>
    <w:rsid w:val="796508D9"/>
    <w:rsid w:val="79A66679"/>
    <w:rsid w:val="79F8030C"/>
    <w:rsid w:val="7A134035"/>
    <w:rsid w:val="7A3712AE"/>
    <w:rsid w:val="7A5D4FC2"/>
    <w:rsid w:val="7A6D6357"/>
    <w:rsid w:val="7A7C3C6A"/>
    <w:rsid w:val="7AB634F5"/>
    <w:rsid w:val="7ADB75EF"/>
    <w:rsid w:val="7AE85868"/>
    <w:rsid w:val="7B357848"/>
    <w:rsid w:val="7B3A09B1"/>
    <w:rsid w:val="7B473C16"/>
    <w:rsid w:val="7B63095A"/>
    <w:rsid w:val="7BF72207"/>
    <w:rsid w:val="7C5E31F5"/>
    <w:rsid w:val="7C601C0C"/>
    <w:rsid w:val="7C8D4919"/>
    <w:rsid w:val="7C9E5AC3"/>
    <w:rsid w:val="7CBB064B"/>
    <w:rsid w:val="7CE43A4E"/>
    <w:rsid w:val="7CEF1C79"/>
    <w:rsid w:val="7D366578"/>
    <w:rsid w:val="7D6F3CED"/>
    <w:rsid w:val="7D921593"/>
    <w:rsid w:val="7DF334A8"/>
    <w:rsid w:val="7E0A560C"/>
    <w:rsid w:val="7E144772"/>
    <w:rsid w:val="7E2917E3"/>
    <w:rsid w:val="7E4D3AFC"/>
    <w:rsid w:val="7ED050F5"/>
    <w:rsid w:val="7EE45E1C"/>
    <w:rsid w:val="7F72293F"/>
    <w:rsid w:val="7F7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77B98"/>
  <w15:docId w15:val="{4953E16F-E0C4-4D43-8A65-9E011C00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link w:val="20"/>
    <w:autoRedefine/>
    <w:qFormat/>
    <w:pPr>
      <w:spacing w:before="100" w:after="100"/>
      <w:outlineLvl w:val="1"/>
    </w:pPr>
    <w:rPr>
      <w:rFonts w:ascii="宋体" w:hAnsi="宋体" w:cs="宋体"/>
      <w:b/>
      <w:bCs/>
      <w:color w:val="000000"/>
      <w:sz w:val="36"/>
      <w:szCs w:val="36"/>
      <w:u w:color="00000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1"/>
    <w:qFormat/>
    <w:rPr>
      <w:sz w:val="28"/>
      <w:szCs w:val="28"/>
    </w:rPr>
  </w:style>
  <w:style w:type="paragraph" w:styleId="a4">
    <w:name w:val="Body Text Indent"/>
    <w:basedOn w:val="a"/>
    <w:autoRedefine/>
    <w:qFormat/>
    <w:pPr>
      <w:ind w:firstLineChars="200" w:firstLine="560"/>
    </w:pPr>
    <w:rPr>
      <w:sz w:val="2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footnote text"/>
    <w:basedOn w:val="a"/>
    <w:link w:val="ac"/>
    <w:autoRedefine/>
    <w:uiPriority w:val="99"/>
    <w:semiHidden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1">
    <w:name w:val="Body Text Indent 3"/>
    <w:link w:val="32"/>
    <w:autoRedefine/>
    <w:qFormat/>
    <w:pPr>
      <w:widowControl w:val="0"/>
      <w:ind w:firstLine="480"/>
      <w:jc w:val="both"/>
    </w:pPr>
    <w:rPr>
      <w:rFonts w:ascii="仿宋_GB2312" w:eastAsia="仿宋_GB2312" w:hAnsi="仿宋_GB2312" w:cs="仿宋_GB2312"/>
      <w:color w:val="000000"/>
      <w:kern w:val="2"/>
      <w:sz w:val="24"/>
      <w:szCs w:val="24"/>
      <w:u w:color="000000"/>
    </w:rPr>
  </w:style>
  <w:style w:type="paragraph" w:styleId="21">
    <w:name w:val="toc 2"/>
    <w:basedOn w:val="a"/>
    <w:next w:val="a"/>
    <w:autoRedefine/>
    <w:uiPriority w:val="39"/>
    <w:unhideWhenUsed/>
    <w:qFormat/>
    <w:pPr>
      <w:jc w:val="left"/>
    </w:pPr>
    <w:rPr>
      <w:rFonts w:ascii="仿宋_GB2312" w:eastAsia="仿宋_GB2312" w:hAnsi="仿宋_GB2312" w:cs="仿宋"/>
      <w:color w:val="000000" w:themeColor="text1"/>
      <w:sz w:val="32"/>
      <w:szCs w:val="32"/>
    </w:rPr>
  </w:style>
  <w:style w:type="paragraph" w:styleId="ad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3"/>
    <w:autoRedefine/>
    <w:qFormat/>
    <w:pPr>
      <w:spacing w:after="120"/>
      <w:ind w:firstLineChars="100" w:firstLine="420"/>
    </w:pPr>
    <w:rPr>
      <w:rFonts w:ascii="Times New Roman" w:hAnsi="Times New Roman"/>
      <w:sz w:val="21"/>
    </w:rPr>
  </w:style>
  <w:style w:type="table" w:styleId="af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autoRedefine/>
    <w:uiPriority w:val="22"/>
    <w:qFormat/>
    <w:rPr>
      <w:b/>
    </w:rPr>
  </w:style>
  <w:style w:type="character" w:styleId="af1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f2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3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c">
    <w:name w:val="脚注文本 字符"/>
    <w:basedOn w:val="a0"/>
    <w:link w:val="ab"/>
    <w:autoRedefine/>
    <w:uiPriority w:val="99"/>
    <w:semiHidden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f5">
    <w:name w:val="正文 A"/>
    <w:autoRedefine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f6">
    <w:name w:val="无"/>
    <w:autoRedefine/>
    <w:qFormat/>
  </w:style>
  <w:style w:type="character" w:customStyle="1" w:styleId="32">
    <w:name w:val="正文文本缩进 3 字符"/>
    <w:basedOn w:val="a0"/>
    <w:link w:val="31"/>
    <w:autoRedefine/>
    <w:qFormat/>
    <w:rPr>
      <w:rFonts w:ascii="仿宋_GB2312" w:eastAsia="仿宋_GB2312" w:hAnsi="仿宋_GB2312" w:cs="仿宋_GB2312"/>
      <w:color w:val="000000"/>
      <w:sz w:val="24"/>
      <w:szCs w:val="24"/>
      <w:u w:color="000000"/>
    </w:rPr>
  </w:style>
  <w:style w:type="character" w:customStyle="1" w:styleId="20">
    <w:name w:val="标题 2 字符"/>
    <w:basedOn w:val="a0"/>
    <w:link w:val="2"/>
    <w:autoRedefine/>
    <w:qFormat/>
    <w:rPr>
      <w:rFonts w:ascii="宋体" w:eastAsia="宋体" w:hAnsi="宋体" w:cs="宋体"/>
      <w:b/>
      <w:bCs/>
      <w:color w:val="000000"/>
      <w:kern w:val="0"/>
      <w:sz w:val="36"/>
      <w:szCs w:val="36"/>
      <w:u w:color="000000"/>
    </w:rPr>
  </w:style>
  <w:style w:type="character" w:customStyle="1" w:styleId="30">
    <w:name w:val="标题 3 字符"/>
    <w:link w:val="3"/>
    <w:autoRedefine/>
    <w:qFormat/>
    <w:rPr>
      <w:b/>
      <w:sz w:val="32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66747-3FA9-4AE0-A51D-F53D40A1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潘咏怡</cp:lastModifiedBy>
  <cp:revision>8</cp:revision>
  <cp:lastPrinted>2024-05-08T05:33:00Z</cp:lastPrinted>
  <dcterms:created xsi:type="dcterms:W3CDTF">2024-04-03T02:07:00Z</dcterms:created>
  <dcterms:modified xsi:type="dcterms:W3CDTF">2024-05-08T06:09:00Z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FB251DDCF62C4328ABFDC98A2DA4BA44_13</vt:lpwstr>
  </property>
</Properties>
</file>